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112 FamFG — Familienstreitsachen</w:t>
      </w:r>
    </w:p>
    <w:p>
      <w:r>
        <w:rPr>
          <w:color w:val="555555"/>
          <w:sz w:val="18"/>
        </w:rPr>
        <w:t xml:space="preserve">Gesetz über das Verfahren in Familiensachen und in den Angelegenheiten der freiwilligen Gerichtsbarkeit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Familienstreitsachen sind folgende Familiensachen:</w:t>
      </w:r>
    </w:p>
    <w:p>
      <w:pPr>
        <w:ind w:left="420"/>
      </w:pPr>
      <w:r>
        <w:t xml:space="preserve">1. Unterhaltssachen nach § 231 Abs. 1 und Lebenspartnerschaftssachen nach § 269 Abs. 1 Nr. 8 und 9,</w:t>
      </w:r>
    </w:p>
    <w:p>
      <w:pPr>
        <w:ind w:left="420"/>
      </w:pPr>
      <w:r>
        <w:t xml:space="preserve">2. Güterrechtssachen nach § 261 Abs. 1 und Lebenspartnerschaftssachen nach § 269 Abs. 1 Nr. 10 sowie</w:t>
      </w:r>
    </w:p>
    <w:p>
      <w:pPr>
        <w:ind w:left="420"/>
      </w:pPr>
      <w:r>
        <w:t xml:space="preserve">3. sonstige Familiensachen nach § 266 Abs. 1 und Lebenspartnerschaftssachen nach § 269 Abs. 2.</w:t>
      </w:r>
    </w:p>
    <w:p>
      <w:r>
        <w:rPr>
          <w:color w:val="555555"/>
          <w:sz w:val="17"/>
        </w:rPr>
        <w:t xml:space="preserve">Zitiervorschlag: § 112 FamFG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https://recht.nulegal.eu/gesetze/FamFG/112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