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110 FamFG — Vollstreckbarkeit ausländischer Entscheidungen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Eine ausländische Entscheidung ist nicht vollstreckbar, wenn sie nicht anzuerkennen ist.</w:t>
      </w:r>
    </w:p>
    <w:p>
      <w:r>
        <w:t xml:space="preserve">(2) Soweit die ausländische Entscheidung eine in § 95 Abs. 1 genannte Verpflichtung zum Inhalt hat, ist die Vollstreckbarkeit durch Beschluss auszusprechen. Der Beschluss ist zu begründen.</w:t>
      </w:r>
    </w:p>
    <w:p>
      <w:r>
        <w:t xml:space="preserve">(3) Zuständig für den Beschluss nach Absatz 2 ist das Amtsgericht, bei dem der Schuldner seinen allgemeinen Gerichtsstand hat, und sonst das Amtsgericht, bei dem nach § 23 der Zivilprozessordnung gegen den Schuldner Klage erhoben werden kann. Der Beschluss ist erst zu erlassen, wenn die Entscheidung des ausländischen Gerichts nach dem für dieses Gericht geltenden Recht die Rechtskraft erlangt hat.</w:t>
      </w:r>
    </w:p>
    <w:p>
      <w:r>
        <w:rPr>
          <w:color w:val="555555"/>
          <w:sz w:val="17"/>
        </w:rPr>
        <w:t xml:space="preserve">Zitiervorschlag: § 110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