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 FamFG — Anerkennung anderer ausländischer Entscheidungen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(1) Abgesehen von Entscheidungen in Ehesachen sowie von Entscheidungen nach § 1 Absatz 2 des Adoptionswirkungsgesetzes werden ausländische Entscheidungen anerkannt, ohne dass es hierfür eines besonderen Verfahrens bedarf.</w:t>
      </w:r>
    </w:p>
    <w:p>
      <w:r>
        <w:t xml:space="preserve">(2) Beteiligte, die ein rechtliches Interesse haben, können eine Entscheidung über die Anerkennung oder Nichtanerkennung einer ausländischen Entscheidung nicht vermögensrechtlichen Inhalts beantragen. § 107 Abs. 9 gilt entsprechend. Für die Anerkennung oder Nichtanerkennung einer Annahme als Kind gelten jedoch die Bestimmungen des Adoptionswirkungsgesetzes, wenn der Angenommene zur Zeit der Annahme das 18. Lebensjahr nicht vollendet hatte.</w:t>
      </w:r>
    </w:p>
    <w:p>
      <w:r>
        <w:t xml:space="preserve">(3) Für die Entscheidung über den Antrag nach Absatz 2 Satz 1 ist das Gericht örtlich zuständig, in dessen Bezirk zum Zeitpunkt der Antragstellung</w:t>
      </w:r>
    </w:p>
    <w:p>
      <w:pPr>
        <w:ind w:left="420"/>
      </w:pPr>
      <w:r>
        <w:t xml:space="preserve">1. der Antragsgegner oder die Person, auf die sich die Entscheidung bezieht, sich gewöhnlich aufhält oder</w:t>
      </w:r>
    </w:p>
    <w:p>
      <w:pPr>
        <w:ind w:left="420"/>
      </w:pPr>
      <w:r>
        <w:t xml:space="preserve">2. bei Fehlen einer Zuständigkeit nach Nummer 1 das Interesse an der Feststellung bekannt wird oder das Bedürfnis der Fürsorge besteht.</w:t>
      </w:r>
    </w:p>
    <w:p>
      <w:r>
        <w:t xml:space="preserve">Diese Zuständigkeiten sind ausschließlich.</w:t>
      </w:r>
    </w:p>
    <w:p>
      <w:r>
        <w:rPr>
          <w:color w:val="555555"/>
          <w:sz w:val="17"/>
        </w:rPr>
        <w:t xml:space="preserve">Zitiervorschlag: § 108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