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FamFG — Betreuungs- und Unterbringungssachen; Pflegschaft für Erwachsene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Die deutschen Gerichte sind zuständig, wenn der Betroffene oder der volljährige Pflegling</w:t>
      </w:r>
    </w:p>
    <w:p>
      <w:pPr>
        <w:ind w:left="420"/>
      </w:pPr>
      <w:r>
        <w:t xml:space="preserve">1. Deutscher ist oder</w:t>
      </w:r>
    </w:p>
    <w:p>
      <w:pPr>
        <w:ind w:left="420"/>
      </w:pPr>
      <w:r>
        <w:t xml:space="preserve">2. seinen gewöhnlichen Aufenthalt im Inland hat.</w:t>
      </w:r>
    </w:p>
    <w:p>
      <w:r>
        <w:t xml:space="preserve">Die deutschen Gerichte sind ferner zuständig, soweit der Betroffene oder der volljährige Pflegling der Fürsorge durch ein deutsches Gericht bedarf.</w:t>
      </w:r>
    </w:p>
    <w:p>
      <w:r>
        <w:t xml:space="preserve">(2) § 99 Abs. 2 und 3 gilt entsprechend.</w:t>
      </w:r>
    </w:p>
    <w:p>
      <w:r>
        <w:t xml:space="preserve">(3) Die Absätze 1 und 2 sind in Verfahren nach § 312 Nummer 4 nicht anzuwenden.</w:t>
      </w:r>
    </w:p>
    <w:p>
      <w:r>
        <w:rPr>
          <w:color w:val="555555"/>
          <w:sz w:val="17"/>
        </w:rPr>
        <w:t xml:space="preserve">Zitiervorschlag: § 104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