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FamFG — Versorgungsausgleichssachen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deutschen Gerichte sind zuständig, wenn</w:t>
      </w:r>
    </w:p>
    <w:p>
      <w:pPr>
        <w:ind w:left="420"/>
      </w:pPr>
      <w:r>
        <w:t xml:space="preserve">1. der Antragsteller oder der Antragsgegner seinen gewöhnlichen Aufenthalt im Inland hat,</w:t>
      </w:r>
    </w:p>
    <w:p>
      <w:pPr>
        <w:ind w:left="420"/>
      </w:pPr>
      <w:r>
        <w:t xml:space="preserve">2. über inländische Anrechte zu entscheiden ist oder</w:t>
      </w:r>
    </w:p>
    <w:p>
      <w:pPr>
        <w:ind w:left="420"/>
      </w:pPr>
      <w:r>
        <w:t xml:space="preserve">3. ein deutsches Gericht die Ehe zwischen Antragsteller und Antragsgegner geschieden hat.</w:t>
      </w:r>
    </w:p>
    <w:p>
      <w:r>
        <w:rPr>
          <w:color w:val="555555"/>
          <w:sz w:val="17"/>
        </w:rPr>
        <w:t xml:space="preserve">Zitiervorschlag: § 102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