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FamFG — Abstammungssachen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deutschen Gerichte sind zuständig, wenn das Kind, die Mutter, der Vater oder der Mann, der an Eides statt versichert, der Mutter während der Empfängniszeit beigewohnt zu haben,</w:t>
      </w:r>
    </w:p>
    <w:p>
      <w:pPr>
        <w:ind w:left="420"/>
      </w:pPr>
      <w:r>
        <w:t xml:space="preserve">1. Deutscher ist oder</w:t>
      </w:r>
    </w:p>
    <w:p>
      <w:pPr>
        <w:ind w:left="420"/>
      </w:pPr>
      <w:r>
        <w:t xml:space="preserve">2. seinen gewöhnlichen Aufenthalt im Inland hat.</w:t>
      </w:r>
    </w:p>
    <w:p>
      <w:r>
        <w:rPr>
          <w:color w:val="555555"/>
          <w:sz w:val="17"/>
        </w:rPr>
        <w:t xml:space="preserve">Zitiervorschlag: § 100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