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FakO (Bayern) — Aufnahme und Stundentafel</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praxisintegrierte Ausbildungsform schließen Studierende einen Ausbildungsvertrag mit einem Träger sozialpädagogischer Einrichtungen, der mit der Fachakademie kooperiert. Studierende der Fachakademie sind zugleich Auszubildende einer mit einer Fachakademie kooperierenden sozialpädagogischen Einrichtung. § 3 Abs. 2 Satz 3, § 6 Abs. 1 Satz 2 und Abs. 2 sind nicht anwendbar.</w:t>
      </w:r>
    </w:p>
    <w:p>
      <w:r>
        <w:t xml:space="preserve">(2) Dem Unterricht ist die Stundentafel nach Anlage 12 zugrunde zu legen.</w:t>
      </w:r>
    </w:p>
    <w:p>
      <w:r>
        <w:rPr>
          <w:color w:val="555555"/>
          <w:sz w:val="17"/>
        </w:rPr>
        <w:t xml:space="preserve">Zitiervorschlag: § 92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