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90 FakO (Bayern) — Anwendbare Vorschriften</w:t>
      </w:r>
    </w:p>
    <w:p>
      <w:r>
        <w:rPr>
          <w:color w:val="555555"/>
          <w:sz w:val="18"/>
        </w:rPr>
        <w:t xml:space="preserve">Fachakademieordnung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praxisintegrierte Ausbildung an der Fachakademie für Sozialpädagogik gelten die für die gegliederte Ausbildung nach § 3 Abs. 2 Satz 2 geltenden Vorschriften, sofern sich nicht aus den nachfolgenden Vorschriften etwas anderes ergibt. Die §§ 99 und 100 bleiben unberührt.</w:t>
      </w:r>
    </w:p>
    <w:p>
      <w:r>
        <w:rPr>
          <w:color w:val="555555"/>
          <w:sz w:val="17"/>
        </w:rPr>
        <w:t xml:space="preserve">Zitiervorschlag: § 90 FakO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https://recht.nulegal.eu/gesetze/FakO/90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