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FakO (Bayern) — Besonderheiten der Ausbildungsrichtung Wirtschaft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Teilnahme an der schriftlichen Abschlussprüfung ist unbeschadet des § 39 Abs. 2 auch dann ausgeschlossen, wenn die Projektarbeit mit der Note 6 bewertet wurde.</w:t>
      </w:r>
    </w:p>
    <w:p>
      <w:r>
        <w:t xml:space="preserve">(2) Die schriftliche Abschlussprüfung erstreckt sich auf den gesamten Unterrichtsstoff der Fächer</w:t>
      </w:r>
    </w:p>
    <w:p>
      <w:r>
        <w:t xml:space="preserve">1. Betriebliches Management: Bearbeitungszeit 180 Minuten,</w:t>
      </w:r>
    </w:p>
    <w:p>
      <w:r>
        <w:t xml:space="preserve">2. der beiden gewählten Wahlpflichtfächer: Bearbeitungszeit je 180 Minuten.</w:t>
      </w:r>
    </w:p>
    <w:p>
      <w:r>
        <w:t xml:space="preserve">(3) Das Abschlusszeugnis enthält neben der Note auch das Thema der Projektarbeit.</w:t>
      </w:r>
    </w:p>
    <w:p>
      <w:r>
        <w:rPr>
          <w:color w:val="555555"/>
          <w:sz w:val="17"/>
        </w:rPr>
        <w:t xml:space="preserve">Zitiervorschlag: § 51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