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FakO (Bayern) — Besonderheiten der Ausbildungsrichtung Raum- und Objektdesign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schriftliche Abschlussprüfung erstreckt sich auf den gesamten Unterrichtsstoff der Fächer</w:t>
      </w:r>
    </w:p>
    <w:p>
      <w:r>
        <w:t xml:space="preserve">1. Darstellungstechniken: Bearbeitungszeit 240 Minuten,</w:t>
      </w:r>
    </w:p>
    <w:p>
      <w:r>
        <w:t xml:space="preserve">2. Interior Design: Bearbeitungszeit 360 Minuten,</w:t>
      </w:r>
    </w:p>
    <w:p>
      <w:r>
        <w:t xml:space="preserve">3. Objektdesign: Bearbeitungszeit 360 Minuten,</w:t>
      </w:r>
    </w:p>
    <w:p>
      <w:r>
        <w:t xml:space="preserve">4. visuelle Kommunikation: Bearbeitungszeit 240 Minuten.</w:t>
      </w:r>
    </w:p>
    <w:p>
      <w:r>
        <w:rPr>
          <w:color w:val="555555"/>
          <w:sz w:val="17"/>
        </w:rPr>
        <w:t xml:space="preserve">Zitiervorschlag: § 50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https://recht.nulegal.eu/gesetze/FakO/50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