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FakO (Bayern) — Fachakademie für Ernährungs- und Versorgungsmanagement</w:t>
      </w:r>
    </w:p>
    <w:p>
      <w:r>
        <w:rPr>
          <w:color w:val="555555"/>
          <w:sz w:val="18"/>
        </w:rPr>
        <w:t xml:space="preserve">Fachakademieordnung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§ 23 Abs. 1 gilt entsprechend.</w:t>
      </w:r>
    </w:p>
    <w:p>
      <w:r>
        <w:t xml:space="preserve">(2) Notenausgleich kann Studierenden, die gemäß Abs. 1 vom Vorrücken ausgeschlossen sind, unter folgenden Voraussetzungen gewährt werden:</w:t>
      </w:r>
    </w:p>
    <w:p>
      <w:r>
        <w:t xml:space="preserve">1. Sie weisen in keinem weiteren Vorrückungsfach die Note 5 oder 6 und</w:t>
      </w:r>
    </w:p>
    <w:p>
      <w:r>
        <w:t xml:space="preserve">2. die Note 1 in einem, die Note 2 in zwei oder die Note 3 in drei Vorrückungsfächern auf.</w:t>
      </w:r>
    </w:p>
    <w:p>
      <w:r>
        <w:t xml:space="preserve">Fächer, die Gegenstand der schriftlichen Abschlussprüfung sind, können nur durch ebensolche Fächer ausgeglichen werden. § 23 Abs. 2 Satz 3 und Abs. 3 gilt entsprechend.</w:t>
      </w:r>
    </w:p>
    <w:p>
      <w:r>
        <w:rPr>
          <w:color w:val="555555"/>
          <w:sz w:val="17"/>
        </w:rPr>
        <w:t xml:space="preserve">Zitiervorschlag: § 26 FakO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https://recht.nulegal.eu/gesetze/FakO/26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