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FakO (Bayern) — Einrichtung und Besuch bestimmter Unterrichtsfächer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Besuch eines Wahlfachs darf während des Studienjahres nur mit Genehmigung der Schulleitung begonnen oder abgebrochen werden.</w:t>
      </w:r>
    </w:p>
    <w:p>
      <w:r>
        <w:t xml:space="preserve">(2) An der Fachakademie für Wirtschaft gilt Folgendes:</w:t>
      </w:r>
    </w:p>
    <w:p>
      <w:r>
        <w:t xml:space="preserve">1. Vom Unterricht in Englisch können Studierende mit allgemeiner oder fachgebundener Hochschulreife oder Fachhochschulreife befreit werden; über die Befreiung entscheidet auf Antrag die Schulleitung; Leistungsnachweise sind im Fall der Befreiung nicht mehr zu erbringen; in das Zeugnis ist eine entsprechende Bemerkung aufzunehmen.</w:t>
      </w:r>
    </w:p>
    <w:p>
      <w:r>
        <w:t xml:space="preserve">2. Der oder die Studierende hat die im Rahmen des Angebots der Fachakademie gewählten zwei Wahlpflichtfächer bis spätestens 1. Juni im ersten Studienjahr der Fachakademie schriftlich anzuzeigen; bei Vorliegen wichtiger Gründe kann bis spätestens vier Wochen nach Unterrichtsbeginn im letzten Studienjahr ein anderes Wahlpflichtfach gewählt werden; bei der Auswahl der Wahlpflichtfächer kann höchstens eine Sprache gewählt werden.</w:t>
      </w:r>
    </w:p>
    <w:p>
      <w:r>
        <w:t xml:space="preserve">(3) An der Fachakademie für Sozialpädagogik gilt Folgendes:</w:t>
      </w:r>
    </w:p>
    <w:p>
      <w:r>
        <w:t xml:space="preserve">1. Unterricht in Ethik und ethischer Erziehung als Pflichtfach muss an öffentlichen Schulen für Studierende eingerichtet werden, wenn es mindestens acht Studierende gibt, die am Unterricht im Fach Theologie/Religionspädagogik nicht teilnehmen, weil sie keiner Konfession angehören, für die Theologie/Religionspädagogik angeboten wird.</w:t>
      </w:r>
    </w:p>
    <w:p>
      <w:r>
        <w:t xml:space="preserve">2. Englisch kann zur Vermeidung einer unbilligen Härte im Einzelfall durch eine andere Fremdsprache ersetzt werden für Studierende, die an zuvor besuchten Schulen höchstens zwei Jahre Unterricht im Fach Englisch hatten; die Entscheidung einschließlich der näheren Festlegungen trifft das Staatsministerium oder eine von diesem beauftragte Stelle.</w:t>
      </w:r>
    </w:p>
    <w:p>
      <w:r>
        <w:t xml:space="preserve">3. Vom Unterricht in Englisch können Studierende mit allgemeiner oder fachgebundener Hochschulreife oder Fachhochschulreife befreit werden; über die Befreiung entscheidet auf Antrag die Schulleitung; Leistungsnachweise sind im Fall der Befreiung nicht mehr zu erbringen; in das Zeugnis ist eine entsprechende Bemerkung aufzunehmen.</w:t>
      </w:r>
    </w:p>
    <w:p>
      <w:r>
        <w:t xml:space="preserve">(4) An der Fachakademie für Sprachen und internationale Kommunikation gilt Folgendes:</w:t>
      </w:r>
    </w:p>
    <w:p>
      <w:r>
        <w:t xml:space="preserve">1. Vom Unterricht in der Zweiten Fremdsprache können Studierende befreit werden, die die staatliche Prüfung für Übersetzer oder die staatliche Prüfung für Fremdsprachenkorrespondenten oder für Euro-Korrespondenten bereits in einer anderen Ersten Fremdsprache als der für die Ausbildung an der Fachakademie gewählten erfolgreich abgelegt haben.</w:t>
      </w:r>
    </w:p>
    <w:p>
      <w:r>
        <w:t xml:space="preserve">2. Der Besuch des Unterrichtsfachs der Anlage 10 Nr. 10 im dritten Studienjahr kann im Einvernehmen mit der Lehrkraft abgebrochen werden; die Austrittserklärung ist der Schulleitung schriftlich vorzulegen und soll ihr bis spätestens Freitag der dritten vollen Februarwoche zugehen.</w:t>
      </w:r>
    </w:p>
    <w:p>
      <w:r>
        <w:t xml:space="preserve">3. Im Aufbaustudium können Studierende Unterrichtsveranstaltungen aus allen Studienjahren belegen.</w:t>
      </w:r>
    </w:p>
    <w:p>
      <w:r>
        <w:t xml:space="preserve">Über Befreiungen nach Satz 1 Nr. 1 bis 3 entscheidet auf Antrag die Schulleitung. Leistungsnachweise sind im Fall der Befreiung nicht mehr zu erbringen; in das Zeugnis ist eine entsprechende Bemerkung aufzunehmen.</w:t>
      </w:r>
    </w:p>
    <w:p>
      <w:r>
        <w:rPr>
          <w:color w:val="555555"/>
          <w:sz w:val="17"/>
        </w:rPr>
        <w:t xml:space="preserve">Zitiervorschlag: § 14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