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FakO (Bayern)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§ 64 Abs. 2 Satz 1 Nr. 2 und Satz 3 findet keine Anwendung. Die Zulassung ist zu versagen, wenn die Voraussetzungen des § 95 Abs. 3 Satz 4 Nr. 2 bis 4 vorliegen.</w:t>
      </w:r>
    </w:p>
    <w:p>
      <w:r>
        <w:t xml:space="preserve">(2) Abweichend von § 65 Abs. 2 Satz 1 erhalten Bewerberinnen und Bewerber, die die Abschlussprüfung bestanden haben, ein Abschlusszeugnis und eine Urkunde nach § 97 Abs. 1 und 3.</w:t>
      </w:r>
    </w:p>
    <w:p>
      <w:r>
        <w:rPr>
          <w:color w:val="555555"/>
          <w:sz w:val="17"/>
        </w:rPr>
        <w:t xml:space="preserve">Zitiervorschlag: § 100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https://recht.nulegal.eu/gesetze/FakO/100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