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FakO (Bayern) — Geltungsbereich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Schulordnung gilt für öffentliche Fachakademien der folgenden Ausbildungsrichtungen:</w:t>
      </w:r>
    </w:p>
    <w:p>
      <w:r>
        <w:t xml:space="preserve">1. Brau- und Getränketechnologie,</w:t>
      </w:r>
    </w:p>
    <w:p>
      <w:r>
        <w:t xml:space="preserve">2. Heilpädagogik,</w:t>
      </w:r>
    </w:p>
    <w:p>
      <w:r>
        <w:t xml:space="preserve">3. Medizintechnik,</w:t>
      </w:r>
    </w:p>
    <w:p>
      <w:r>
        <w:t xml:space="preserve">4. Raum- und Objektdesign,</w:t>
      </w:r>
    </w:p>
    <w:p>
      <w:r>
        <w:t xml:space="preserve">5. Wirtschaft,</w:t>
      </w:r>
    </w:p>
    <w:p>
      <w:r>
        <w:t xml:space="preserve">6. Sozialpädagogik,</w:t>
      </w:r>
    </w:p>
    <w:p>
      <w:r>
        <w:t xml:space="preserve">7. Sprachen und internationale Kommunikation und</w:t>
      </w:r>
    </w:p>
    <w:p>
      <w:r>
        <w:t xml:space="preserve">8. Ernährungs- und Versorgungsmanagement.</w:t>
      </w:r>
    </w:p>
    <w:p>
      <w:r>
        <w:t xml:space="preserve">Für staatlich genehmigte und staatlich anerkannte Ersatzschulen gilt diese Schulordnung im Rahmen der Art. 90, 92 Abs. 2 Nr. 2 und Abs. 5 und Art. 93 des Bayerischen Gesetzes über das Erziehungs- und Unterrichtswesen (BayEUG), für letztere darüber hinaus im Rahmen des Art. 100 Abs. 2 BayEUG.</w:t>
      </w:r>
    </w:p>
    <w:p>
      <w:r>
        <w:rPr>
          <w:color w:val="555555"/>
          <w:sz w:val="17"/>
        </w:rPr>
        <w:t xml:space="preserve">Zitiervorschlag: § 1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