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FahrschAusbO 2012</w:t>
      </w:r>
    </w:p>
    <w:p>
      <w:r>
        <w:rPr>
          <w:color w:val="555555"/>
          <w:sz w:val="18"/>
        </w:rPr>
        <w:t xml:space="preserve">Fahrschüler-Ausbildungsordnung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– des § 6 Absatz 3, § 11 Absatz 4, § 18 Absatz 4 des Fahrlehrergesetzes vom 25. August 1969 (BGBl. I S. 1336), die zuletzt durch Artikel 289 der Verordnung vom 31. Oktober 2006 (BGBl. I S. 2407) geändert worden sind, verordnet das Bundesministerium für Verkehr, Bau und Stadtentwicklung,</w:t>
      </w:r>
    </w:p>
    <w:p>
      <w:pPr>
        <w:ind w:left="420"/>
      </w:pPr>
      <w:r>
        <w:t xml:space="preserve">– des § 2 Nummer 1 des Fahrpersonalgesetzes in der Fassung der Bekanntmachung vom 19. Februar 1987 (BGBl. I S. 640), § 2 Nummer 1 zuletzt geändert durch Artikel 1 Nummer 1 des Gesetzes vom 6. Juli 2007 (BGBl. I S. 1270), verordnet das Bundesministerium für Verkehr, Bau und Stadtentwicklung im Einvernehmen mit dem Bundesministerium für Arbeit und Soziales:</w:t>
      </w:r>
    </w:p>
    <w:p>
      <w:r>
        <w:rPr>
          <w:color w:val="555555"/>
          <w:sz w:val="17"/>
        </w:rPr>
        <w:t xml:space="preserve">Zitiervorschlag: Eingangsformel FahrschAusbO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https://recht.nulegal.eu/gesetze/FahrschAusbO%202012/eingangsformel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