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FahrschAusbO 2012 — Inkrafttreten, Außerkrafttreten</w:t>
      </w:r>
    </w:p>
    <w:p>
      <w:r>
        <w:rPr>
          <w:color w:val="555555"/>
          <w:sz w:val="18"/>
        </w:rPr>
        <w:t xml:space="preserve">Fahrschüler-Ausbildungsordnung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 Gleichzeitig tritt die Fahrschüler-Ausbildungsordnung vom 18. August 1998 (BGBl. I S. 2307, 2335), die zuletzt durch Artikel 3 der Verordnung vom 18. Juli 2008 (BGBl. I S. 1338) geändert worden ist, außer Kraft.</w:t>
      </w:r>
    </w:p>
    <w:p>
      <w:r>
        <w:rPr>
          <w:color w:val="555555"/>
          <w:sz w:val="17"/>
        </w:rPr>
        <w:t xml:space="preserve">Zitiervorschlag: § 9 FahrschAusbO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https://recht.nulegal.eu/gesetze/FahrschAusbO%202012/9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