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FahrschAusbO 2012 — Ausnahmen</w:t>
      </w:r>
    </w:p>
    <w:p>
      <w:r>
        <w:rPr>
          <w:color w:val="555555"/>
          <w:sz w:val="18"/>
        </w:rPr>
        <w:t xml:space="preserve">Fahrschüler-Ausbildungsordnung</w:t>
      </w:r>
    </w:p>
    <w:p>
      <w:r>
        <w:rPr>
          <w:color w:val="555555"/>
          <w:sz w:val="18"/>
        </w:rPr>
        <w:t xml:space="preserve">Stand: 01.04.2021 (konsolidierte Textfassung, kein amtliches Inkrafttretensdatum)</w:t>
      </w:r>
    </w:p>
    <w:p>
      <w:r>
        <w:t xml:space="preserve">(1) Die §§ 1 bis 6 finden keine Anwendung, wenn</w:t>
      </w:r>
    </w:p>
    <w:p>
      <w:pPr>
        <w:ind w:left="420"/>
      </w:pPr>
      <w:r>
        <w:t xml:space="preserve">1. die Fahrerlaubnis nach vorangegangener Entziehung auf Grund von § 20 der Fahrerlaubnis-Verordnung neu erteilt werden soll,</w:t>
      </w:r>
    </w:p>
    <w:p>
      <w:pPr>
        <w:ind w:left="420"/>
      </w:pPr>
      <w:r>
        <w:t xml:space="preserve">2. die Fahrerlaubnis nach vorangegangenem Verzicht neu erteilt werden soll,</w:t>
      </w:r>
    </w:p>
    <w:p>
      <w:pPr>
        <w:ind w:left="420"/>
      </w:pPr>
      <w:r>
        <w:t xml:space="preserve">3. die Fahrerlaubnis für die Klassen C oder D oder für die dazugehörigen Anhänger- oder Unterklassen wegen fehlender Verlängerung erloschen ist und die erneute Erteilung der betreffenden Fahrerlaubnis beantragt wird,</w:t>
      </w:r>
    </w:p>
    <w:p>
      <w:pPr>
        <w:ind w:left="420"/>
      </w:pPr>
      <w:r>
        <w:t xml:space="preserve">4. die Fahrerlaubnis auf Grund einer ausländischen Fahrerlaubnis nach § 31 Absatz 1 oder 2 der Fahrerlaubnis-Verordnung erteilt werden soll,</w:t>
      </w:r>
    </w:p>
    <w:p>
      <w:pPr>
        <w:ind w:left="420"/>
      </w:pPr>
      <w:r>
        <w:t xml:space="preserve">5. dem Inhaber einer allgemeinen Fahrerlaubnis eine Dienstfahrerlaubnis nach § 26 Absatz 1 der Fahrerlaubnis-Verordnung erteilt werden soll,</w:t>
      </w:r>
    </w:p>
    <w:p>
      <w:pPr>
        <w:ind w:left="420"/>
      </w:pPr>
      <w:r>
        <w:t xml:space="preserve">6. die Fahrerlaubnis der Klasse A1 nach mindestens zweijährigem Vorbesitz der Klasse A1 auf die Klasse A2 erweitert wird,</w:t>
      </w:r>
    </w:p>
    <w:p>
      <w:pPr>
        <w:ind w:left="420"/>
      </w:pPr>
      <w:r>
        <w:t xml:space="preserve">7. die Fahrerlaubnis der Klasse A2 nach mindestens zweijährigem Vorbesitz der Klasse A2 auf die Klasse A erweitert wird,</w:t>
      </w:r>
    </w:p>
    <w:p>
      <w:pPr>
        <w:ind w:left="420"/>
      </w:pPr>
      <w:r>
        <w:t xml:space="preserve">8. die Prüfung zum Zwecke der Aufhebung der Beschränkung der Fahrerlaubnis auf Kraftfahrzeuge mit automatischer Kraftübertragung nach § 17a Absatz 2 der Fahrerlaubnis-Verordnung abgelegt wird.</w:t>
      </w:r>
    </w:p>
    <w:p>
      <w:r>
        <w:t xml:space="preserve">(2) Der Fahrlehrer darf, soweit in den Fällen von Absatz 1 eine Prüfung abzulegen ist, den Bewerber nur zur Prüfung begleiten, wenn er sich überzeugt hat, dass er über die zum Führen eines Kraftfahrzeugs erforderlichen Kenntnisse und Fähigkeiten verfügt.</w:t>
      </w:r>
    </w:p>
    <w:p>
      <w:r>
        <w:t xml:space="preserve">(3) Ausnahmen von § 5 Absatz 2 Satz 3 und § 6 Absatz 2 können bei der Ausbildung für Dienstfahrerlaubnisse erteilt werden.</w:t>
      </w:r>
    </w:p>
    <w:p>
      <w:r>
        <w:rPr>
          <w:color w:val="555555"/>
          <w:sz w:val="17"/>
        </w:rPr>
        <w:t xml:space="preserve">Zitiervorschlag: § 7 FahrschAusbO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https://recht.nulegal.eu/gesetze/FahrschAusbO%202012/7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