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5b FahrschAusbO 2012 — Evaluierung</w:t>
      </w:r>
    </w:p>
    <w:p>
      <w:r>
        <w:rPr>
          <w:color w:val="555555"/>
          <w:sz w:val="18"/>
        </w:rPr>
        <w:t xml:space="preserve">Fahrschüler-Ausbildungsordnung</w:t>
      </w:r>
    </w:p>
    <w:p>
      <w:r>
        <w:rPr>
          <w:color w:val="555555"/>
          <w:sz w:val="18"/>
        </w:rPr>
        <w:t xml:space="preserve">Stand: 01.04.2021 (konsolidierte Textfassung, kein amtliches Inkrafttretensdatum)</w:t>
      </w:r>
    </w:p>
    <w:p>
      <w:r>
        <w:t xml:space="preserve">Die Auswirkungen dieser Verordnung im Hinblick auf die Verkehrssicherheit und auf die Nutzung alternativer Antriebe werden von der Bundesanstalt für Straßenwesen in nicht personenbezogener Form evaluiert. Die Bundesanstalt für Straßenwesen legt das Ergebnis der Evaluierung bis zum 31. Dezember 2024 dem Bundesministerium für Verkehr und digitale Infrastruktur in nicht personenbezogener Form vor.</w:t>
      </w:r>
    </w:p>
    <w:p>
      <w:r>
        <w:rPr>
          <w:color w:val="555555"/>
          <w:sz w:val="17"/>
        </w:rPr>
        <w:t xml:space="preserve">Zitiervorschlag: § 5b FahrschAusbO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https://recht.nulegal.eu/gesetze/FahrschAusbO%202012/5b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