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FahrschAusbO 2012 — Art und Umfang der Ausbildung</w:t>
      </w:r>
    </w:p>
    <w:p>
      <w:r>
        <w:rPr>
          <w:color w:val="555555"/>
          <w:sz w:val="18"/>
        </w:rPr>
        <w:t xml:space="preserve">Fahrschüler-Ausbildungsordnung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erfolgt in einem theoretischen und einem praktischen Teil. Die beiden Teile sollen in der Konzeption aufeinander bezogen und im Verlauf der Ausbildung miteinander verknüpft werden.</w:t>
      </w:r>
    </w:p>
    <w:p>
      <w:r>
        <w:t xml:space="preserve">(2) Die Ausbildung in der Bundeswehr zur Erlangung der Dienstfahrerlaubnis, die nicht den Klassen nach § 6 der Fahrerlaubnis-Verordnung entsprechen oder die über den Mindestumfang der Ausbildung nach dieser Verordnung hinausgehen, darf durch Verwendung von Fahrsimulatoren ergänzt werden.</w:t>
      </w:r>
    </w:p>
    <w:p>
      <w:r>
        <w:rPr>
          <w:color w:val="555555"/>
          <w:sz w:val="17"/>
        </w:rPr>
        <w:t xml:space="preserve">Zitiervorschlag: § 2 FahrschAusbO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https://recht.nulegal.eu/gesetze/FahrschAusbO%202012/2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