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FahrpersStG — Bußgeldvorschriften</w:t>
      </w:r>
    </w:p>
    <w:p>
      <w:r>
        <w:rPr>
          <w:color w:val="555555"/>
          <w:sz w:val="18"/>
        </w:rPr>
        <w:t xml:space="preserve">Fahrpersonalgesetz</w:t>
      </w:r>
    </w:p>
    <w:p>
      <w:r>
        <w:rPr>
          <w:color w:val="555555"/>
          <w:sz w:val="18"/>
        </w:rPr>
        <w:t xml:space="preserve">Stand: 02.12.2019 (konsolidierte Textfassung, kein amtliches Inkrafttretensdatum)</w:t>
      </w:r>
    </w:p>
    <w:p>
      <w:r>
        <w:t xml:space="preserve">(1) Ordnungswidrig handelt, wer vorsätzlich oder fahrlässig</w:t>
      </w:r>
    </w:p>
    <w:p>
      <w:pPr>
        <w:ind w:left="420"/>
      </w:pPr>
      <w:r>
        <w:t xml:space="preserve">1. als Unternehmer</w:t>
      </w:r>
    </w:p>
    <w:p>
      <w:pPr>
        <w:ind w:left="780"/>
      </w:pPr>
      <w:r>
        <w:t xml:space="preserve">a) einer Rechtsverordnung nach § 2 Nr. 2 Buchstabe b oder Nr. 3 oder einer vollziehbaren Anordnung auf Grund einer solchen Rechtsverordnung zuwiderhandelt, soweit die Rechtsverordnung für einen bestimmten Tatbestand auf diese Bußgeldvorschrift verweist,</w:t>
      </w:r>
    </w:p>
    <w:p>
      <w:pPr>
        <w:ind w:left="780"/>
      </w:pPr>
      <w:r>
        <w:t xml:space="preserve">b) einer Vorschrift der Verordnung (EG) Nr. 2135/98, der Verordnung (EU) Nr. 165/2014 oder des AETR zuwiderhandelt, soweit eine Rechtsverordnung nach § 2 Nr. 1 Buchstabe e oder Nr. 2 Buchstabe e für einen bestimmten Tatbestand auf diese Bußgeldvorschrift verweist,</w:t>
      </w:r>
    </w:p>
    <w:p>
      <w:pPr>
        <w:ind w:left="780"/>
      </w:pPr>
      <w:r>
        <w:t xml:space="preserve">c) entgegen § 3 Satz 1 ein Mitglied des Fahrpersonals nach der zurückgelegten Fahrstrecke oder der Menge der beförderten Güter entlohnt,</w:t>
      </w:r>
    </w:p>
    <w:p>
      <w:pPr>
        <w:ind w:left="780"/>
      </w:pPr>
      <w:r>
        <w:t xml:space="preserve">d) entgegen § 4 Abs. 3 Satz 1 eine Auskunft nicht, nicht richtig, nicht vollständig oder nicht rechtzeitig erteilt oder eine Unterlage nicht oder nicht rechtzeitig aushändigt, nicht oder nicht rechtzeitig einsendet oder nicht oder nicht rechtzeitig zur Verfügung stellt,</w:t>
      </w:r>
    </w:p>
    <w:p>
      <w:pPr>
        <w:ind w:left="780"/>
      </w:pPr>
      <w:r>
        <w:t xml:space="preserve">e) entgegen § 4 Abs. 3 Satz 6 dort genannte Daten nicht, nicht richtig oder nicht für die vorgeschriebene Dauer speichert,</w:t>
      </w:r>
    </w:p>
    <w:p>
      <w:pPr>
        <w:ind w:left="780"/>
      </w:pPr>
      <w:r>
        <w:t xml:space="preserve">f) entgegen § 4 Abs. 3 Satz 7 ein Schaublatt oder einen Ausdruck nicht oder nicht für die vorgeschriebene Dauer aufbewahrt,</w:t>
      </w:r>
    </w:p>
    <w:p>
      <w:pPr>
        <w:ind w:left="780"/>
      </w:pPr>
      <w:r>
        <w:t xml:space="preserve">g) entgegen § 4 Abs. 3 Satz 9 nicht dafür Sorge trägt, dass eine lückenlose Dokumentation oder Datensicherung erfolgt,</w:t>
      </w:r>
    </w:p>
    <w:p>
      <w:pPr>
        <w:ind w:left="780"/>
      </w:pPr>
      <w:r>
        <w:t xml:space="preserve">h) entgegen § 4 Abs. 5 Satz 5 eine Maßnahme nicht duldet oder</w:t>
      </w:r>
    </w:p>
    <w:p>
      <w:pPr>
        <w:ind w:left="780"/>
      </w:pPr>
      <w:r>
        <w:t xml:space="preserve">i) einer vollziehbaren Anordnung nach § 5 Absatz 1 Satz 1 oder Absatz 1a Satz 1 oder § 7 zuwiderhandelt,</w:t>
      </w:r>
    </w:p>
    <w:p>
      <w:pPr>
        <w:ind w:left="420"/>
      </w:pPr>
      <w:r>
        <w:t xml:space="preserve">2. als Fahrer</w:t>
      </w:r>
    </w:p>
    <w:p>
      <w:pPr>
        <w:ind w:left="780"/>
      </w:pPr>
      <w:r>
        <w:t xml:space="preserve">a) einer Rechtsverordnung nach § 2 Nr. 2 Buchstabe b oder Nr. 3 oder einer vollziehbaren Anordnung auf Grund einer solchen Rechtsverordnung zuwiderhandelt, soweit die Rechtsverordnung für einen bestimmten Tatbestand auf diese Bußgeldvorschrift verweist,</w:t>
      </w:r>
    </w:p>
    <w:p>
      <w:pPr>
        <w:ind w:left="780"/>
      </w:pPr>
      <w:r>
        <w:t xml:space="preserve">b) einer Vorschrift der Verordnung (EG) Nr. 2135/98, der Verordnung (EU) Nr. 165/2014 oder des AETR zuwiderhandelt, soweit eine Rechtsverordnung nach § 2 Nr. 1 Buchstabe e oder Nr. 2 Buchstabe e für einen bestimmten Tatbestand auf diese Bußgeldvorschrift verweist,</w:t>
      </w:r>
    </w:p>
    <w:p>
      <w:pPr>
        <w:ind w:left="780"/>
      </w:pPr>
      <w:r>
        <w:t xml:space="preserve">c) entgegen § 4 Abs. 3 Satz 1 eine Auskunft nicht, nicht richtig, nicht vollständig oder nicht rechtzeitig erteilt oder eine Unterlage nicht aushändigt,</w:t>
      </w:r>
    </w:p>
    <w:p>
      <w:pPr>
        <w:ind w:left="780"/>
      </w:pPr>
      <w:r>
        <w:t xml:space="preserve">d) entgegen § 4 Abs. 3 Satz 2 einen Tätigkeitsnachweis nicht oder nicht rechtzeitig aushändigt,</w:t>
      </w:r>
    </w:p>
    <w:p>
      <w:pPr>
        <w:ind w:left="780"/>
      </w:pPr>
      <w:r>
        <w:t xml:space="preserve">e) entgegen § 4 Abs. 3 Satz 4 die Fahrerkarte zum Kopieren nicht oder nicht rechtzeitig zur Verfügung stellt,</w:t>
      </w:r>
    </w:p>
    <w:p>
      <w:pPr>
        <w:ind w:left="780"/>
      </w:pPr>
      <w:r>
        <w:t xml:space="preserve">f) entgegen § 4 Abs. 5 Satz 5 eine Maßnahme nicht duldet oder</w:t>
      </w:r>
    </w:p>
    <w:p>
      <w:pPr>
        <w:ind w:left="780"/>
      </w:pPr>
      <w:r>
        <w:t xml:space="preserve">g) einer vollziehbaren Anordnung nach § 5 Absatz 1 Satz 1 oder Absatz 1a Satz 1 oder § 7 zuwiderhandelt oder</w:t>
      </w:r>
    </w:p>
    <w:p>
      <w:pPr>
        <w:ind w:left="420"/>
      </w:pPr>
      <w:r>
        <w:t xml:space="preserve">3. als Fahrzeughalter entgegen § 4 Abs. 3 Satz 1 eine Auskunft nicht, nicht richtig, nicht vollständig oder nicht rechtzeitig erteilt oder eine Unterlage nicht oder nicht rechtzeitig aushändigt, nicht oder nicht rechtzeitig einsendet oder nicht oder nicht rechtzeitig zur Verfügung stellt oder</w:t>
      </w:r>
    </w:p>
    <w:p>
      <w:pPr>
        <w:ind w:left="420"/>
      </w:pPr>
      <w:r>
        <w:t xml:space="preserve">4. als Werkstattinhaber oder Installateur</w:t>
      </w:r>
    </w:p>
    <w:p>
      <w:pPr>
        <w:ind w:left="780"/>
      </w:pPr>
      <w:r>
        <w:t xml:space="preserve">a) einer Rechtsverordnung nach § 2 Nr. 2 Buchstabe b oder Nr. 3 Buchstabe c oder einer vollziehbaren Anordnung auf Grund einer solchen Rechtsverordnung zuwiderhandelt, soweit die Rechtsverordnung für einen bestimmten Tatbestand auf diese Bußgeldvorschrift verweist, oder</w:t>
      </w:r>
    </w:p>
    <w:p>
      <w:pPr>
        <w:ind w:left="780"/>
      </w:pPr>
      <w:r>
        <w:t xml:space="preserve">b) einer Vorschrift der Verordnung (EU) Nr. 165/2014 oder des AETR zuwiderhandelt, soweit eine Rechtsverordnung nach § 2 Nr. 1 Buchstabe e oder Nr. 2 Buchstabe e für einen bestimmten Tatbestand auf diese Bußgeldvorschrift verweist.</w:t>
      </w:r>
    </w:p>
    <w:p>
      <w:r>
        <w:t xml:space="preserve">(2) Die Ordnungswidrigkeit kann in den Fällen des Absatzes 1 Nr. 1 und 3 mit einer Geldbuße bis zu dreißigtausend Euro, in den übrigen Fällen mit einer Geldbuße bis zu fünftausend Euro geahndet werden.</w:t>
      </w:r>
    </w:p>
    <w:p>
      <w:r>
        <w:t xml:space="preserve">(3) Ordnungswidrigkeiten nach Absatz 1 Nummer 1 Buchstabe b, Nummer 2 Buchstabe b oder Nummer 4 Buchstabe b, die bis zum 1. März 2016 unter Geltung der Verordnung (EWG) Nr. 3821/85 begangen wurden, können abweichend von § 4 Absatz 3 des Gesetzes über Ordnungswidrigkeiten nach den zum Zeitpunkt der Tat geltenden Bestimmungen geahndet werden.</w:t>
      </w:r>
    </w:p>
    <w:p>
      <w:r>
        <w:t xml:space="preserve">(4) In den Fällen des Absatzes 1 Nummer 1 Buchstabe b, Nummer 2 Buchstabe b und Nummer 4 Buchstabe b kann eine Ordnungswidrigkeit wegen einer Zuwiderhandlung gegen das AETR auch dann geahndet werden, wenn die Ordnungswidrigkeit nicht im Geltungsbereich dieses Gesetzes begangen wurde.</w:t>
      </w:r>
    </w:p>
    <w:p>
      <w:r>
        <w:rPr>
          <w:color w:val="555555"/>
          <w:sz w:val="17"/>
        </w:rPr>
        <w:t xml:space="preserve">Zitiervorschlag: § 8 FahrpersStG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https://recht.nulegal.eu/gesetze/FahrpersStG/8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