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FahrpersStG — Zuständigkeiten</w:t>
      </w:r>
    </w:p>
    <w:p>
      <w:r>
        <w:rPr>
          <w:color w:val="555555"/>
          <w:sz w:val="18"/>
        </w:rPr>
        <w:t xml:space="preserve">Fahrpersonalgesetz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Anträge auf Erteilung von Fahrer-, Werkstatt- oder Unternehmenskarten sind an die nach Landesrecht zuständigen Behörden oder Stellen zu richten. Die Länder können Dritte mit dieser Aufgabe betrauen.</w:t>
      </w:r>
    </w:p>
    <w:p>
      <w:r>
        <w:rPr>
          <w:color w:val="555555"/>
          <w:sz w:val="17"/>
        </w:rPr>
        <w:t xml:space="preserve">Zitiervorschlag: § 4a FahrpersStG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https://recht.nulegal.eu/gesetze/FahrpersStG/4a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