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FahrpersStG — Aufsicht</w:t>
      </w:r>
    </w:p>
    <w:p>
      <w:r>
        <w:rPr>
          <w:color w:val="555555"/>
          <w:sz w:val="18"/>
        </w:rPr>
        <w:t xml:space="preserve">Fahrpersonalgesetz</w:t>
      </w:r>
    </w:p>
    <w:p>
      <w:r>
        <w:rPr>
          <w:color w:val="555555"/>
          <w:sz w:val="18"/>
        </w:rPr>
        <w:t xml:space="preserve">Stand: 01.11.2024 (konsolidierte Textfassung, kein amtliches Inkrafttretensdatum)</w:t>
      </w:r>
    </w:p>
    <w:p>
      <w:r>
        <w:t xml:space="preserve">(1) Die Aufsicht über die Ausführung der Verordnungen (EG) Nr. 561/2006, (EU) Nr. 165/2014 und der Verordnung (EG) Nr. 2135/98, des AETR sowie dieses Gesetzes und der auf Grund dieses Gesetzes erlassenen Rechtsverordnungen obliegt den von den Landesregierungen bestimmten Behörden (Aufsichtsbehörden), soweit in diesem Gesetz nichts anderes bestimmt ist.</w:t>
      </w:r>
    </w:p>
    <w:p>
      <w:r>
        <w:t xml:space="preserve">(1a) Die Aufsichtsbehörde kann die erforderlichen Maßnahmen anordnen, die der Arbeitgeber, der Verlader, der Spediteur, der Reiseveranstalter, der Hauptauftragnehmer, der Unterauftragnehmer und die Fahrervermittlungsagentur zur Erfüllung der sich aus diesem Gesetz und den auf Grund dieses Gesetzes erlassenen Rechtsverordnungen ergebenden Pflichten zu treffen haben.</w:t>
      </w:r>
    </w:p>
    <w:p>
      <w:r>
        <w:t xml:space="preserve">(2) Unberührt bleibt die Zuständigkeit des Bundesamtes für Logistik und Mobilität nach § 9 Abs. 2 dieses Gesetzes und nach § 11 Abs. 2 Nr. 3 Buchstabe a, § 12 Abs. 6 des Güterkraftverkehrsgesetzes.</w:t>
      </w:r>
    </w:p>
    <w:p>
      <w:r>
        <w:t xml:space="preserve">(3) Der Unternehmer, der Fahrzeughalter und die Mitglieder des Fahrpersonals sind verpflichtet, der zuständigen Behörde innerhalb einer von ihr festzusetzenden Frist</w:t>
      </w:r>
    </w:p>
    <w:p>
      <w:pPr>
        <w:ind w:left="420"/>
      </w:pPr>
      <w:r>
        <w:t xml:space="preserve">1. die Auskünfte, die zur Ausführung der in Absatz 1 genannten Vorschriften erforderlich sind, wahrheitsgemäß und vollständig zu erteilen,</w:t>
      </w:r>
    </w:p>
    <w:p>
      <w:pPr>
        <w:ind w:left="420"/>
      </w:pPr>
      <w:r>
        <w:t xml:space="preserve">2. die Unterlagen, die sich auf diese Angaben beziehen oder aus denen die Lohn- oder Gehaltszahlungen ersichtlich sind, zur Prüfung auszuhändigen oder einzusenden; werden die Unterlagen automatisiert gespeichert, sind sie den zuständigen Behörden auf deren Verlangen nach Maßgabe von Satz 12 durch Datenfernübertragung oder auf einem von der jeweiligen Behörde zu bestimmenden Datenträger nach Satz 12 zur Verfügung zu stellen.</w:t>
      </w:r>
    </w:p>
    <w:p>
      <w:r>
        <w:t xml:space="preserve">Mitglieder des Fahrpersonals haben die Schaublätter und andere Tätigkeitsnachweise der Vortage, die nicht mehr mitzuführen sind, unverzüglich dem Unternehmer auszuhändigen. Bei Einsatz eines digitalen Fahrtenschreibers nach der Verordnung (EU) Nr. 165/2014 hat der Unternehmer die auf der Fahrerkarte gespeicherten Daten in regelmäßigen Abständen zu kopieren. Hierzu haben ihm die Mitglieder des Fahrpersonals die jeweiligen Fahrerkarten zur Verfügung zu stellen. Der Unternehmer hat ferner die im Massenspeicher des Fahrtenschreibers gespeicherten Daten in regelmäßigen Abständen zu kopieren. Der Unternehmer hat die von den Fahrerkarten und den Massenspeichern kopierten Daten unter Berücksichtigung der Grundsätze des Satzes 12 ein Jahr ab dem Zeitpunkt des Kopierens zu speichern. Der Unternehmer hat die Schaublätter im Sinne des Artikels 33 Absatz 2 der Verordnung (EU) Nr. 165/2014 und die gemäß Artikel 35 Absatz 2 und Artikel 37 Absatz 2 der Verordnung (EU) Nr. 165/2014 sowie § 2 Abs. 3 Satz 1 und 2 der Fahrpersonalverordnung zu fertigenden Ausdrucke und handschriftlichen Aufzeichnungen ein Jahr nach dem Ablauf der Mitführpflicht nach Artikel 36 Absatz 1 und 2 der Verordnung (EU) Nr. 165/2014 aufzubewahren. Danach sind bis zum 31. März des auf das Kalenderjahr, in dem die Aufbewahrungsfrist endet, folgenden Kalenderjahres die Daten zu löschen und die Schaublätter und die gemäß Artikel 35 Absatz 2 und Artikel 37 Absatz 2 der Verordnung (EU) Nr. 165/2014 und § 2 Abs. 3 Satz 1 und 2 der Fahrpersonalverordnung zu fertigenden Ausdrucke und handschriftlichen Aufzeichnungen zu vernichten, soweit sie nicht zur Erfüllung der Aufbewahrungspflichten nach § 16 Abs. 2 und § 21a Abs. 7 des Arbeitszeitgesetzes, § 147 Abs. 1 Nr. 5 in Verbindung mit Abs. 3 der Abgabenordnung, § 28f Abs. 1 Satz 1 des Vierten Buches Sozialgesetzbuch nach § 17 Absatz 2 des Gesetzes zur Regelung eines allgemeinen Mindestlohns, nach § 19 Absatz 2 des Arbeitnehmer-Entsendegesetzes oder nach § 17c Absatz 2 des Arbeitnehmerüberlassungsgesetzes benötigt werden. Der Unternehmer hat dabei dafür Sorge zu tragen, dass eine lückenlose Dokumentation der Lenk- und Ruhezeiten gewährleistet ist und die Daten sowie die Schaublätter und die gemäß Artikel 35 Absatz 2, Artikel 37 Absatz 2 der Verordnung (EU) Nr. 165/2014 und § 2 Abs. 3 Satz 1 und 2 der Fahrpersonalverordnung zu fertigenden Ausdrucke und handschriftlichen Aufzeichnungen gegen Verlust und Beschädigung zu sichern. Er stellt den Mitgliedern des Fahrpersonals auf Verlangen eine Kopie der von ihrer Fahrerkarte kopierten Daten zur Verfügung. Artikel 10 Abs. 2 der Verordnung (EG) Nr. 561/2006 bleibt unberührt. Im Falle der Datenfernübertragung sind die erforderlichen technischen und organisatorischen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zur Sicherstellung des Datenschutzes und der Datensicherheit zu treffen.</w:t>
      </w:r>
    </w:p>
    <w:p>
      <w:r>
        <w:t xml:space="preserve">(4) Der zur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(5) Während der Betriebs- und Arbeitszeit ist den Beauftragten der Aufsichtsbehörden, soweit dies zur Wahrnehmung ihrer Aufgaben erforderlich ist, das Betreten und Besichtigen der Grundstücke, Betriebsanlagen, Geschäftsräume und Beförderungsmittel gestattet. Das Betreten und Besichtigen außerhalb dieser Zeit oder wenn die Betriebsanlagen oder Geschäftsräume sich in einer Wohnung befinden, ist ohne Einverständnis nur zur Verhütung von dringenden Gefahren für die öffentliche Sicherheit und Ordnung zulässig. Das Grundrecht der Unverletzlichkeit der Wohnung (Artikel 13 des Grundgesetzes) wird insoweit eingeschränkt. Soweit dies zur Erfüllung der Aufgaben der Beauftragten der Aufsichtsbehörden erforderlich ist, können Prüfungen und Untersuchungen durchgeführt und die Einsicht in geschäftliche Unterlagen des Auskunftspflichtigen vorgenommen werden. Die Maßnahmen nach den Sätzen 1, 2 und 4 sind von den zu überwachenden Unternehmen und ihren Angestellten, einschließlich der Fahrer, zu dulden.</w:t>
      </w:r>
    </w:p>
    <w:p>
      <w:r>
        <w:t xml:space="preserve">(6) (weggefallen)</w:t>
      </w:r>
    </w:p>
    <w:p>
      <w:r>
        <w:t xml:space="preserve">(7) Zuständige Behörde im Sinne des Artikels 4 des Anhangs zum AETR und der Artikel 15, 22 Absatz 3 und Artikel 24 Absatz 5 der Verordnung (EU) Nr. 165/2014 ist das Kraftfahrt-Bundesamt.</w:t>
      </w:r>
    </w:p>
    <w:p>
      <w:r>
        <w:rPr>
          <w:color w:val="555555"/>
          <w:sz w:val="17"/>
        </w:rPr>
        <w:t xml:space="preserve">Zitiervorschlag: § 4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