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FahrmAusbV — Ausbildungsdauer</w:t>
      </w:r>
    </w:p>
    <w:p>
      <w:r>
        <w:rPr>
          <w:color w:val="555555"/>
          <w:sz w:val="18"/>
        </w:rPr>
        <w:t xml:space="preserve">Verordnung über die Berufsausbildung zum Fahrradmonteur/zur Fahrradmonteurin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zwei Jahre.</w:t>
      </w:r>
    </w:p>
    <w:p>
      <w:r>
        <w:t xml:space="preserve">(2) Auszubildende, denen der Besuch eines nach landesrechtlichen Vorschriften eingeführten schulischen Berufsgrundbildungsjahres nach einer Verordnung gemäß § 27a Abs. 1 der Handwerksordnung oder nach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FahrmAusbV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https://recht.nulegal.eu/gesetze/FahrmAusbV/2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