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27 FahrlPrüfV — Ausnahmen</w:t>
      </w:r>
    </w:p>
    <w:p>
      <w:r>
        <w:rPr>
          <w:color w:val="555555"/>
          <w:sz w:val="18"/>
        </w:rPr>
        <w:t xml:space="preserve">Fahrlehrer-Prüfungsverordnung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§§ 1 bis 6 und 9 gelten nicht für die in § 44 Absatz 2 des Fahrlehrergesetzes genannten Behörden.</w:t>
      </w:r>
    </w:p>
    <w:p>
      <w:r>
        <w:rPr>
          <w:color w:val="555555"/>
          <w:sz w:val="17"/>
        </w:rPr>
        <w:t xml:space="preserve">Zitiervorschlag: § 27 FahrlPrüfV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https://recht.nulegal.eu/gesetze/FahrlPr%C3%BCfV/27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27 FahrlPrüfV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