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FahrlPrüfV — Prüfungsunterlagen</w:t>
      </w:r>
    </w:p>
    <w:p>
      <w:r>
        <w:rPr>
          <w:color w:val="555555"/>
          <w:sz w:val="18"/>
        </w:rPr>
        <w:t xml:space="preserve">Fahrlehrer-Prüfungsverordnung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Fahrlehreranwärter oder Bewerber ist auf Antrag Einsicht in die ihn betreffenden Prüfungsunterlagen zu gewähren. Die Prüfungsunterlagen sind vom Prüfungsausschuss nach § 1 fünf Jahre lang aufzubewahren und vom Prüfungsausschuss nach Ablauf dieses Zeitraums unverzüglich zu löschen. Die Frist beginnt mit der Bekanntgabe des letzten Prüfungsergebnisses.</w:t>
      </w:r>
    </w:p>
    <w:p>
      <w:r>
        <w:rPr>
          <w:color w:val="555555"/>
          <w:sz w:val="17"/>
        </w:rPr>
        <w:t xml:space="preserve">Zitiervorschlag: § 26 FahrlPrüfV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https://recht.nulegal.eu/gesetze/FahrlPr%C3%BCfV/26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