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FahrlPrüfV — Bekanntgabe der Entscheidung</w:t>
      </w:r>
    </w:p>
    <w:p>
      <w:r>
        <w:rPr>
          <w:color w:val="555555"/>
          <w:sz w:val="18"/>
        </w:rPr>
        <w:t xml:space="preserve">Fahrlehrer-Prüfungsverordnung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vorsitzende Mitglied oder ein Mitglied nach § 2 Absatz 4 gibt dem Fahrlehreranwärter oder Bewerber die Bewertung nach jeder einzelnen Prüfung oder Lehrprobe bekannt. Mit mangelhaft oder mit ungenügend bewertete Prüfungsteile sind zu erläutern und zu begründen.</w:t>
      </w:r>
    </w:p>
    <w:p>
      <w:r>
        <w:rPr>
          <w:color w:val="555555"/>
          <w:sz w:val="17"/>
        </w:rPr>
        <w:t xml:space="preserve">Zitiervorschlag: § 21 FahrlPrüfV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https://recht.nulegal.eu/gesetze/FahrlPr%C3%BCfV/21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