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FahrlG2018DV — Lehrmittel</w:t>
      </w:r>
    </w:p>
    <w:p>
      <w:r>
        <w:rPr>
          <w:color w:val="555555"/>
          <w:sz w:val="18"/>
        </w:rPr>
        <w:t xml:space="preserve">Durchführungsverordnung zum Fahrlehrergesetz</w:t>
      </w:r>
    </w:p>
    <w:p>
      <w:r>
        <w:rPr>
          <w:color w:val="555555"/>
          <w:sz w:val="18"/>
        </w:rPr>
        <w:t xml:space="preserve">Stand: 01.06.2022 (konsolidierte Textfassung, kein amtliches Inkrafttretensdatum)</w:t>
      </w:r>
    </w:p>
    <w:p>
      <w:r>
        <w:t xml:space="preserve">(1) In den Unterrichtsräumen müssen während des theoretischen Unterrichts Lehrmittel zur Gestaltung des Unterrichts und zur Visualisierung vorhanden sein. Zur Darstellung des Lehrstoffes müssen wahlweise Modelle, analoge oder digitale Medien sowie die zur Visualisierung jeweils erforderlichen technischen Geräte vorhanden sein. Bildschirme und Projektionsflächen müssen eine ausreichende Größe aufweisen. Ferner müssen die für die Ausbildung der Fahrschüler notwendigen aktuellen straßenverkehrsrechtlichen Bestimmungen in schriftlicher oder, sofern der Zugriff im Unterrichtsraum gesichert ist, in elektronischer Form vorliegen.</w:t>
      </w:r>
    </w:p>
    <w:p>
      <w:r>
        <w:t xml:space="preserve">(2) Wird der theoretische Unterricht in digitaler Form durchgeführt, sind zusätzlich zu Absatz 1 mindestens die Anforderungen nach Anlage 2a zu erfüllen. § 4 Absatz 1b Satz 5 der Fahrschüler-Ausbildungsordnung bleibt unberührt.</w:t>
      </w:r>
    </w:p>
    <w:p>
      <w:r>
        <w:rPr>
          <w:color w:val="555555"/>
          <w:sz w:val="17"/>
        </w:rPr>
        <w:t xml:space="preserve">Zitiervorschlag: § 4 FahrlG2018DV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https://recht.nulegal.eu/gesetze/FahrlG2018DV/4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