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FahrlG2018DV — Durchführung des Lehrgangs Fahrschulbetriebswirtschaft</w:t>
      </w:r>
    </w:p>
    <w:p>
      <w:r>
        <w:rPr>
          <w:color w:val="555555"/>
          <w:sz w:val="18"/>
        </w:rPr>
        <w:t xml:space="preserve">Durchführungsverordnung zum Fahrlehrergesetz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Der Träger der Lehrgänge über Fahrschulbetriebswirtschaft nach § 18 Absatz 1 Satz 1 Nummer 5 des Fahrlehrergesetzes muss mindestens folgende Lehrkräfte mit folgender Qualifikation einsetzen:</w:t>
      </w:r>
    </w:p>
    <w:p>
      <w:pPr>
        <w:ind w:left="420"/>
      </w:pPr>
      <w:r>
        <w:t xml:space="preserve">1. eine Lehrkraft mit der Befähigung zum Richteramt (Jurist),</w:t>
      </w:r>
    </w:p>
    <w:p>
      <w:pPr>
        <w:ind w:left="420"/>
      </w:pPr>
      <w:r>
        <w:t xml:space="preserve">2. eine Fachkraft für Betriebswirtschaft (Betriebswirt) und</w:t>
      </w:r>
    </w:p>
    <w:p>
      <w:pPr>
        <w:ind w:left="420"/>
      </w:pPr>
      <w:r>
        <w:t xml:space="preserve">3. einen Fahrlehrer, der die Fahrlehrerlaubnisklassen A, BE und CE oder DE besitzt und mindestens drei Jahre lang eine Fahrschule verantwortlich geführt hat.</w:t>
      </w:r>
    </w:p>
    <w:p>
      <w:r>
        <w:t xml:space="preserve">Abweichend davon dürfen auch andere Lehrkräfte eingesetzt werden, wenn diese in der Lage sind, die im Musterplan nach Anlage 1a genannten Inhalte zu vermitteln.</w:t>
      </w:r>
    </w:p>
    <w:p>
      <w:r>
        <w:t xml:space="preserve">(2) Der Lehrgang muss mindestens die Sachgebiete des Musterplans nach Anlage 1a umfassen. Die tägliche Dauer darf acht Unterrichtseinheiten zu je 45 Minuten nicht überschreiten.</w:t>
      </w:r>
    </w:p>
    <w:p>
      <w:r>
        <w:rPr>
          <w:color w:val="555555"/>
          <w:sz w:val="17"/>
        </w:rPr>
        <w:t xml:space="preserve">Zitiervorschlag: § 2a FahrlG2018DV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https://recht.nulegal.eu/gesetze/FahrlG2018DV/2a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