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FahrlG2018DV — Anwärterschein und Fahrlehrerschein</w:t>
      </w:r>
    </w:p>
    <w:p>
      <w:r>
        <w:rPr>
          <w:color w:val="555555"/>
          <w:sz w:val="18"/>
        </w:rPr>
        <w:t xml:space="preserve">Durchführungsverordnung zum Fahrlehrergesetz</w:t>
      </w:r>
    </w:p>
    <w:p>
      <w:r>
        <w:rPr>
          <w:color w:val="555555"/>
          <w:sz w:val="18"/>
        </w:rPr>
        <w:t xml:space="preserve">Stand: 01.06.2022 (konsolidierte Textfassung, kein amtliches Inkrafttretensdatum)</w:t>
      </w:r>
    </w:p>
    <w:p>
      <w:r>
        <w:t xml:space="preserve">(1) Der Anwärterschein Fahrlehrer muss dem Muster nach Anlage 1.1, der Fahrlehrerschein dem Muster nach Anlage 1.2 entsprechen. Dies gilt nicht für Anwärterscheine Fahrlehrer und Fahrlehrerscheine der Bundeswehr, der Bundespolizei und der Polizei.</w:t>
      </w:r>
    </w:p>
    <w:p>
      <w:r>
        <w:t xml:space="preserve">(2) Der Fahrlehrerschein für die Fahrlehrerlaubnisklasse BE darf erst ausgehändigt oder zugestellt werden, wenn der Anwärterschein für die Anwärterbefugnis der Fahrlehrerlaubnisklasse BE durch die nach Landesrecht zuständige Behörde oder durch die nach § 44 Absatz 2 des Fahrlehrergesetzes zuständige Dienststelle eingezogen oder ungültig gemacht worden ist.</w:t>
      </w:r>
    </w:p>
    <w:p>
      <w:r>
        <w:t xml:space="preserve">(3) Mit der Aushändigung oder Zustellung des Anwärterscheins ist der Inhaber darauf hinzuweisen, dass die Ausübung der Anwärterbefugnis nur im Rahmen eines Ausbildungsverhältnisses mit dem Inhaber einer Ausbildungsfahrschule zulässig ist. Mit der Aushändigung des Fahrlehrerscheins ist der Inhaber darauf hinzuweisen, dass die Ausübung der Fahrlehrerlaubnis nur in Verbindung mit einer Fahrschulerlaubnis oder im Rahmen eines Beschäftigungsverhältnisses zulässig ist.</w:t>
      </w:r>
    </w:p>
    <w:p>
      <w:r>
        <w:t xml:space="preserve">(4) Bei jeder Änderung ist ein neuer Fahrlehrerschein auszufertigen.</w:t>
      </w:r>
    </w:p>
    <w:p>
      <w:r>
        <w:rPr>
          <w:color w:val="555555"/>
          <w:sz w:val="17"/>
        </w:rPr>
        <w:t xml:space="preserve">Zitiervorschlag: § 2 FahrlG2018DV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https://recht.nulegal.eu/gesetze/FahrlG2018DV/2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