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67 FahrlG 2018 — Löschung der Daten</w:t>
      </w:r>
    </w:p>
    <w:p>
      <w:r>
        <w:rPr>
          <w:color w:val="555555"/>
          <w:sz w:val="18"/>
        </w:rPr>
        <w:t xml:space="preserve">Fahrlehrergesetz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auf Grund des § 59 gespeicherten Daten sind</w:t>
      </w:r>
    </w:p>
    <w:p>
      <w:pPr>
        <w:ind w:left="420"/>
      </w:pPr>
      <w:r>
        <w:t xml:space="preserve">1. zehn Jahre nach Eintritt der Unanfechtbarkeit oder sofortigen Vollziehbarkeit bei Entscheidungen nach § 59 Absatz 2 Nummer 1 bis 3 und 8,</w:t>
      </w:r>
    </w:p>
    <w:p>
      <w:pPr>
        <w:ind w:left="420"/>
      </w:pPr>
      <w:r>
        <w:t xml:space="preserve">2. fünf Jahre nach Eintritt der Rechtskraft bei Entscheidungen nach § 59 Absatz 2 Nummer 7,</w:t>
      </w:r>
    </w:p>
    <w:p>
      <w:pPr>
        <w:ind w:left="420"/>
      </w:pPr>
      <w:r>
        <w:t xml:space="preserve">3. fünf Jahre nach Erlöschen oder Beendigung der Erlaubnisse, Anerkennungen, Rechtsverhältnisse und der Aktivitäten nach § 59 Absatz 2 Nummer 4 und Absatz 3 Nummer 1 bis 11 oder nach Abgabe der Erklärungen nach § 59 Absatz 2 Nummer 5 und 6,</w:t>
      </w:r>
    </w:p>
    <w:p>
      <w:pPr>
        <w:ind w:left="420"/>
      </w:pPr>
      <w:r>
        <w:t xml:space="preserve">4. sonst nach der amtlichen Mitteilung über den Tod des Eingetragenen</w:t>
      </w:r>
    </w:p>
    <w:p>
      <w:r>
        <w:t xml:space="preserve">zu löschen. Für die Löschung der nach § 62 übermittelten Daten gilt § 29 des Straßenverkehrsgesetzes entsprechend.</w:t>
      </w:r>
    </w:p>
    <w:p>
      <w:r>
        <w:rPr>
          <w:color w:val="555555"/>
          <w:sz w:val="17"/>
        </w:rPr>
        <w:t xml:space="preserve">Zitiervorschlag: § 67 FahrlG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https://recht.nulegal.eu/gesetze/FahrlG%202018/67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67 FahrlG 2018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