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FahrlG 2018 — Datenvergleich zur Beseitigung von Fehlern</w:t>
      </w:r>
    </w:p>
    <w:p>
      <w:r>
        <w:rPr>
          <w:color w:val="555555"/>
          <w:sz w:val="18"/>
        </w:rPr>
        <w:t xml:space="preserve">Fahrlehrergesetz</w:t>
      </w:r>
    </w:p>
    <w:p>
      <w:r>
        <w:rPr>
          <w:color w:val="555555"/>
          <w:sz w:val="18"/>
        </w:rPr>
        <w:t xml:space="preserve">Stand: 10.06.2019 (konsolidierte Textfassung, kein amtliches Inkrafttretensdatum)</w:t>
      </w:r>
    </w:p>
    <w:p>
      <w:r>
        <w:t xml:space="preserve">(1) Die nach § 59 Absatz 3 gespeicherten Daten dürfen von der nach Landesrecht zuständigen Behörde an das Kraftfahrt-Bundesamt zum Fahreignungsregister und zum Zentralen Fahrerlaubnisregister übermittelt werden, soweit dies erforderlich ist, um Fehler und Abweichungen in diesen Registern festzustellen und zu beseitigen und um diese Register zu vervollständigen.</w:t>
      </w:r>
    </w:p>
    <w:p>
      <w:r>
        <w:t xml:space="preserve">(2) Die nach § 59 Absatz 1 und 2 gespeicherten Daten dürfen vom Kraftfahrt-Bundesamt an die nach Landesrecht zuständigen Behörden zum örtlichen Fahrlehrerregister übermittelt werden, soweit dies erforderlich ist, um Fehler und Abweichungen in den örtlichen Registern festzustellen und zu beseitigen und um diese Register zu vervollständigen.</w:t>
      </w:r>
    </w:p>
    <w:p>
      <w:r>
        <w:t xml:space="preserve">(3) Die Übermittlungen nach Absatz 1 oder Absatz 2 sind nur zulässig, wenn Anlass zu der Annahme besteht, dass die Datenbestände unrichtig oder unvollständig sind.</w:t>
      </w:r>
    </w:p>
    <w:p>
      <w:r>
        <w:rPr>
          <w:color w:val="555555"/>
          <w:sz w:val="17"/>
        </w:rPr>
        <w:t xml:space="preserve">Zitiervorschlag: § 65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