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64 FahrlG 2018 — Weiterverarbeitung der Daten für wissenschaftliche und statistische Zwecke</w:t>
      </w:r>
    </w:p>
    <w:p>
      <w:r>
        <w:rPr>
          <w:color w:val="555555"/>
          <w:sz w:val="18"/>
        </w:rPr>
        <w:t xml:space="preserve">Fahrlehrergesetz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Es gelten für die Weiterverarbeitung der nach § 59 gespeicherten Daten</w:t>
      </w:r>
    </w:p>
    <w:p>
      <w:pPr>
        <w:ind w:left="420"/>
      </w:pPr>
      <w:r>
        <w:t xml:space="preserve">1. zu Zwecken der wissenschaftlichen Forschung § 38 sowie</w:t>
      </w:r>
    </w:p>
    <w:p>
      <w:pPr>
        <w:ind w:left="420"/>
      </w:pPr>
      <w:r>
        <w:t xml:space="preserve">2. zu statistischen Zwecken § 38a</w:t>
      </w:r>
    </w:p>
    <w:p>
      <w:r>
        <w:t xml:space="preserve">des Straßenverkehrsgesetzes entsprechend.</w:t>
      </w:r>
    </w:p>
    <w:p>
      <w:r>
        <w:rPr>
          <w:color w:val="555555"/>
          <w:sz w:val="17"/>
        </w:rPr>
        <w:t xml:space="preserve">Zitiervorschlag: § 64 FahrlG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https://recht.nulegal.eu/gesetze/FahrlG%202018/64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