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FahrlG 2018 — Zweck der Registrierung</w:t>
      </w:r>
    </w:p>
    <w:p>
      <w:r>
        <w:rPr>
          <w:color w:val="555555"/>
          <w:sz w:val="18"/>
        </w:rPr>
        <w:t xml:space="preserve">Fahrlehrergesetz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Eintragungen erfolgen:</w:t>
      </w:r>
    </w:p>
    <w:p>
      <w:pPr>
        <w:ind w:left="420"/>
      </w:pPr>
      <w:r>
        <w:t xml:space="preserve">1. zur Feststellung über Bestand, Art und Umfang der Erlaubnisse und der amtlichen Anerkennungen nach diesem Gesetz, und</w:t>
      </w:r>
    </w:p>
    <w:p>
      <w:pPr>
        <w:ind w:left="420"/>
      </w:pPr>
      <w:r>
        <w:t xml:space="preserve">2. zur Beurteilung der Eignung und Zuverlässigkeit der einzutragenden Personen nach diesem Gesetz.</w:t>
      </w:r>
    </w:p>
    <w:p>
      <w:r>
        <w:rPr>
          <w:color w:val="555555"/>
          <w:sz w:val="17"/>
        </w:rPr>
        <w:t xml:space="preserve">Zitiervorschlag: § 58 FahrlG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https://recht.nulegal.eu/gesetze/FahrlG%202018/58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