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FahrlG 2018 — Registerführung und Registerbehörden</w:t>
      </w:r>
    </w:p>
    <w:p>
      <w:r>
        <w:rPr>
          <w:color w:val="555555"/>
          <w:sz w:val="18"/>
        </w:rPr>
        <w:t xml:space="preserve">Fahrlehrergesetz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nach Landesrecht zuständigen Behörden dürfen Register (örtliches Fahrlehrerregister) über Fahrlehrer, Fahrlehreranwärter, Fahrschulen und Fahrlehrerausbildungsstätten führen.</w:t>
      </w:r>
    </w:p>
    <w:p>
      <w:r>
        <w:t xml:space="preserve">(2) Das Kraftfahrt-Bundesamt vermerkt</w:t>
      </w:r>
    </w:p>
    <w:p>
      <w:pPr>
        <w:ind w:left="420"/>
      </w:pPr>
      <w:r>
        <w:t xml:space="preserve">1. im Zentralen Fahrerlaubnisregister, ob der Inhaber einer Fahrerlaubnis auch Fahrlehrer oder Fahrlehreranwärter ist,</w:t>
      </w:r>
    </w:p>
    <w:p>
      <w:pPr>
        <w:ind w:left="420"/>
      </w:pPr>
      <w:r>
        <w:t xml:space="preserve">2. im Fahreignungsregister die in § 59 Absatz 2 näher bestimmten Maßnahmen, Entscheidungen und Erklärungen auf dem Gebiet des Fahrlehrerrechts.</w:t>
      </w:r>
    </w:p>
    <w:p>
      <w:r>
        <w:rPr>
          <w:color w:val="555555"/>
          <w:sz w:val="17"/>
        </w:rPr>
        <w:t xml:space="preserve">Zitiervorschlag: § 57 FahrlG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https://recht.nulegal.eu/gesetze/FahrlG%202018/57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