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51 FahrlG 2018 — Überwachung</w:t>
      </w:r>
    </w:p>
    <w:p>
      <w:r>
        <w:rPr>
          <w:color w:val="555555"/>
          <w:sz w:val="18"/>
        </w:rPr>
        <w:t xml:space="preserve">Fahrlehrergesetz</w:t>
      </w:r>
    </w:p>
    <w:p>
      <w:r>
        <w:rPr>
          <w:color w:val="555555"/>
          <w:sz w:val="18"/>
        </w:rPr>
        <w:t xml:space="preserve">Stand: 01.01.2024 (konsolidierte Textfassung, kein amtliches Inkrafttretensdatum)</w:t>
      </w:r>
    </w:p>
    <w:p>
      <w:r>
        <w:t xml:space="preserve">(1) Die nach Landesrecht zuständige Behörde überwacht die Fahrlehrer, die Fahrschulen und deren Zweigstellen, die Fahrlehrerausbildungsstätten sowie die Träger von Einweisungsseminaren nach § 16 Absatz 1, Träger von Einweisungslehrgängen nach § 45 Absatz 2 Satz 1 Nummer 4 und § 46 Absatz 2 Satz 1 Nummer 4, die Träger von Einführungslehrgängen für Lehrgangsleitungen nach § 47 Absatz 1 Satz 1 Nummer 5 und die Träger von Fortbildungslehrgängen nach § 53 Absatz 1, 2 und 3. Sie kann sich hierbei geeigneter Personen und Stellen nach Landesrecht bedienen.</w:t>
      </w:r>
    </w:p>
    <w:p>
      <w:r>
        <w:t xml:space="preserve">(2) Die Überwachung umfasst</w:t>
      </w:r>
    </w:p>
    <w:p>
      <w:pPr>
        <w:ind w:left="420"/>
      </w:pPr>
      <w:r>
        <w:t xml:space="preserve">1. vorbehaltlich der Nummer 2 die Überwachung der Einhaltung fahrlehrerrechtlicher Vorschriften insbesondere die Einhaltung der Ausstattungsstandards und der Aufzeichnungspflichten und</w:t>
      </w:r>
    </w:p>
    <w:p>
      <w:pPr>
        <w:ind w:left="420"/>
      </w:pPr>
      <w:r>
        <w:t xml:space="preserve">2. die Beurteilung der fachlichen und pädagogischen Qualität der Fahrschulausbildung, der Seminare und Lehrgänge.</w:t>
      </w:r>
    </w:p>
    <w:p>
      <w:r>
        <w:t xml:space="preserve">(3) Die nach Landesrecht zuständige Behörde soll dazu mindestens alle zwei Jahre vor Ort insbesondere prüfen, ob</w:t>
      </w:r>
    </w:p>
    <w:p>
      <w:pPr>
        <w:ind w:left="420"/>
      </w:pPr>
      <w:r>
        <w:t xml:space="preserve">1. die Ausbildung, die Aufbauseminare nach § 2a Absatz 2 Satz 1 Nummer 1 des Straßenverkehrsgesetzes, die verkehrspädagogische Teilmaßnahme der Fahreignungsseminare nach § 4a Absatz 2 Nummer 1 des Straßenverkehrsgesetzes, die Einweisungsseminare nach § 16 Absatz 1 Satz 2 Nummer 2, die Einweisungslehrgänge nach § 45 Absatz 2 Satz 1 Nummer 4 und § 46 Absatz 2 Satz 1 Nummer 4, der Einführungslehrgang nach § 47 Absatz 1 Satz 1 Nummer 5 und die Fortbildungslehrgänge nach § 53 Absatz 1, 2 und 3 ordnungsgemäß durchgeführt werden,</w:t>
      </w:r>
    </w:p>
    <w:p>
      <w:pPr>
        <w:ind w:left="420"/>
      </w:pPr>
      <w:r>
        <w:t xml:space="preserve">2. die Unterrichtsräume, Lehrmittel und Lehrfahrzeuge zur Verfügung stehen und den gesetzlichen Vorschriften entsprechen und</w:t>
      </w:r>
    </w:p>
    <w:p>
      <w:pPr>
        <w:ind w:left="420"/>
      </w:pPr>
      <w:r>
        <w:t xml:space="preserve">3. die sonstigen Pflichten auf Grund dieses Gesetzes und der auf ihm beruhenden Rechtsverordnungen erfüllt werden.</w:t>
      </w:r>
    </w:p>
    <w:p>
      <w:r>
        <w:t xml:space="preserve">(4) Die mit der Prüfung beauftragten Personen sind befugt,</w:t>
      </w:r>
    </w:p>
    <w:p>
      <w:pPr>
        <w:ind w:left="420"/>
      </w:pPr>
      <w:r>
        <w:t xml:space="preserve">1. während der üblichen Geschäftszeiten Grundstücke und Geschäftsräume des Erlaubnisinhabers zu betreten,</w:t>
      </w:r>
    </w:p>
    <w:p>
      <w:pPr>
        <w:ind w:left="420"/>
      </w:pPr>
      <w:r>
        <w:t xml:space="preserve">2. dort Prüfungen und Besichtigungen vorzunehmen,</w:t>
      </w:r>
    </w:p>
    <w:p>
      <w:pPr>
        <w:ind w:left="420"/>
      </w:pPr>
      <w:r>
        <w:t xml:space="preserve">3. dem Unterricht, den Aufbauseminaren nach § 2a Absatz 2 Satz 1 Nummer 1 des Straßenverkehrsgesetzes, den verkehrspädagogischen Teilmaßnahmen der Fahreignungsseminare nach § 4a Absatz 2 Nummer 1 des Straßenverkehrsgesetzes, den Einweisungslehrgängen nach den § 45 Absatz 2 Satz 1 Nummer 4 und § 46 Absatz 2 Satz 1 Nummer 4 und dem Einführungslehrgang nach § 47 Absatz 1 Satz 1 Nummer 5 und den Fortbildungslehrgängen nach § 53 Absatz 1, 2 und 3 beizuwohnen und</w:t>
      </w:r>
    </w:p>
    <w:p>
      <w:pPr>
        <w:ind w:left="420"/>
      </w:pPr>
      <w:r>
        <w:t xml:space="preserve">4. in die vorgeschriebenen Aufzeichnungen Einsicht zu nehmen, Ablichtungen zu fertigen und diese sicherzustellen,</w:t>
      </w:r>
    </w:p>
    <w:p>
      <w:pPr>
        <w:ind w:left="420"/>
      </w:pPr>
      <w:r>
        <w:t xml:space="preserve">5. von natürlichen und juristischen Personen und sonstigen Personenvereinigungen alle erforderlichen Auskünfte zu verlangen.</w:t>
      </w:r>
    </w:p>
    <w:p>
      <w:r>
        <w:t xml:space="preserve">Der nach Satz 1 Verpflichtete hat die Maßnahmen nach Satz 1 Nummer 1 bis 4 zu dulden, die in der Überwachung tätigen Personen bei der Erfüllung ihrer Aufgabe zu unterstützen. Der nach Satz 1 Verpflichtete hat den in der Überwachung tätigen Personen auf Verlangen unverzüglich die in Satz 1 Nummer 5 genannten Auskünfte zu erteilen. Der nach Satz 1 Verpflichtete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w:t>
      </w:r>
    </w:p>
    <w:p>
      <w:r>
        <w:t xml:space="preserve">(5) Die in Absatz 3 Satz 1 genannte Frist kann von der nach Landesrecht zuständigen Behörde auf vier Jahre verlängert werden, wenn in zwei aufeinanderfolgenden Überwachungen keine oder nur geringfügige Mängel festgestellt worden sind.</w:t>
      </w:r>
    </w:p>
    <w:p>
      <w:r>
        <w:t xml:space="preserve">(6) Erhält die Behörde, welche eine Fahrlehrerlaubnis nach § 1 oder eine Fahrschulerlaubnis nach § 17 erteilt hat, von einer öffentlichen Stelle eines anderen Mitgliedstaats der Europäischen Union, eines anderen Vertragsstaats des Abkommens über den Europäischen Wirtschaftsraum oder der Schweiz, in dem der Inhaber der jeweiligen Erlaubnis die Fahrlehrertätigkeit ausübt, Mitteilung über eine Tatsache, auf Grund derer eine Rücknahme oder ein Widerruf der Erlaubnis in Betracht kommt, so prüft sie die Richtigkeit der übermittelten Tatsache, befindet über Art und Ausmaß der nach diesem Gesetz oder einer auf Grund dieses Gesetzes erlassenen Rechtsverordnung durchzuführenden Maßnahmen und unterrichtet die öffentliche Stelle, die die Tatsache übermittelt hat, über die Maßnahmen, die sie oder eine andere inländische Behörde auf Grund der übermittelten Tatsache trifft. Die Daten über die von der inländischen Behörde getroffenen Maßnahmen sind mit der Maßgabe zu übermitteln, dass sie nur verwendet werden dürfen, soweit dies erforderlich ist</w:t>
      </w:r>
    </w:p>
    <w:p>
      <w:pPr>
        <w:ind w:left="420"/>
      </w:pPr>
      <w:r>
        <w:t xml:space="preserve">1. für Verwaltungsmaßnahmen auf dem Gebiet des Fahrlehrerrechts,</w:t>
      </w:r>
    </w:p>
    <w:p>
      <w:pPr>
        <w:ind w:left="420"/>
      </w:pPr>
      <w:r>
        <w:t xml:space="preserve">2. zur Verfolgung von Zuwiderhandlungen gegen Rechtsvorschriften auf dem Gebiet des Fahrlehrerrechts oder</w:t>
      </w:r>
    </w:p>
    <w:p>
      <w:pPr>
        <w:ind w:left="420"/>
      </w:pPr>
      <w:r>
        <w:t xml:space="preserve">3. zur Verfolgung von Straftaten, die im Zusammenhang mit der Tätigkeit als Fahrlehrer stehen.</w:t>
      </w:r>
    </w:p>
    <w:p>
      <w:r>
        <w:t xml:space="preserve">Die Übermittlung unterbleibt, soweit die betroffene Person ein schutzwürdiges Interesse an dem Ausschluss der Übermittlung der Daten hat, insbesondere wenn im Empfängerstaat ein angemessenes Datenschutzniveau nicht gewährleistet ist.</w:t>
      </w:r>
    </w:p>
    <w:p>
      <w:r>
        <w:t xml:space="preserve">(7) Die nach Landesrecht zuständigen Behörden können von der wiederkehrenden Überwachung nach Absatz 3 absehen, wenn die in Absatz 1 Satz 1 genannten Einrichtungen oder Personen sich einem von der nach Landesrecht zuständigen Behörde genehmigten Qualitätssicherungssystem angeschlossen haben. Die Befugnis der nach Landesrecht zuständigen Behörde zur Überwachung im Sinne des Absatzes 2 bleibt unberührt.</w:t>
      </w:r>
    </w:p>
    <w:p>
      <w:r>
        <w:rPr>
          <w:color w:val="555555"/>
          <w:sz w:val="17"/>
        </w:rPr>
        <w:t xml:space="preserve">Zitiervorschlag: § 51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51 FahrlG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