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FahrlG 2018 — Erteilung der amtlichen Anerkennung</w:t>
      </w:r>
    </w:p>
    <w:p>
      <w:r>
        <w:rPr>
          <w:color w:val="555555"/>
          <w:sz w:val="18"/>
        </w:rPr>
        <w:t xml:space="preserve">Fahrlehrergesetz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amtliche Anerkennung bedarf der Schriftform.</w:t>
      </w:r>
    </w:p>
    <w:p>
      <w:r>
        <w:t xml:space="preserve">(2) Die amtliche Anerkennung muss enthalten:</w:t>
      </w:r>
    </w:p>
    <w:p>
      <w:pPr>
        <w:ind w:left="420"/>
      </w:pPr>
      <w:r>
        <w:t xml:space="preserve">1. den Namen und die Anschrift der amtlich anerkannten Fahrlehrerausbildungsstätte,</w:t>
      </w:r>
    </w:p>
    <w:p>
      <w:pPr>
        <w:ind w:left="420"/>
      </w:pPr>
      <w:r>
        <w:t xml:space="preserve">2. den Namen und die Anschrift des Inhabers der amtlich anerkannten Fahrlehrerausbildungsstätte – bei natürlichen Personen auch die Vornamen und den Geburtstag und -ort,</w:t>
      </w:r>
    </w:p>
    <w:p>
      <w:pPr>
        <w:ind w:left="420"/>
      </w:pPr>
      <w:r>
        <w:t xml:space="preserve">2a. bei juristischen Personen oder rechtsfähigen Personengesellschaften die für die verantwortliche Leitung der Fahrlehrerausbildungsstätte bestellte Person mit Namen, Vornamen, Geburtstag und Geburtsort,</w:t>
      </w:r>
    </w:p>
    <w:p>
      <w:pPr>
        <w:ind w:left="420"/>
      </w:pPr>
      <w:r>
        <w:t xml:space="preserve">3. die Angabe, für welche Fahrlehrerlaubnisklasse nach § 17 Absatz 2 die Fahrlehreranwärter ausgebildet werden sollen, und</w:t>
      </w:r>
    </w:p>
    <w:p>
      <w:pPr>
        <w:ind w:left="420"/>
      </w:pPr>
      <w:r>
        <w:t xml:space="preserve">4. bestehende Auflagen.</w:t>
      </w:r>
    </w:p>
    <w:p>
      <w:r>
        <w:rPr>
          <w:color w:val="555555"/>
          <w:sz w:val="17"/>
        </w:rPr>
        <w:t xml:space="preserve">Zitiervorschlag: § 39 FahrlG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https://recht.nulegal.eu/gesetze/FahrlG%202018/39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