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FahrlG 2018 — Voraussetzungen der amtlichen Anerkennung</w:t>
      </w:r>
    </w:p>
    <w:p>
      <w:r>
        <w:rPr>
          <w:color w:val="555555"/>
          <w:sz w:val="18"/>
        </w:rPr>
        <w:t xml:space="preserve">Fahrlehrergesetz</w:t>
      </w:r>
    </w:p>
    <w:p>
      <w:r>
        <w:rPr>
          <w:color w:val="555555"/>
          <w:sz w:val="18"/>
        </w:rPr>
        <w:t xml:space="preserve">Stand: 01.01.2024 (konsolidierte Textfassung, kein amtliches Inkrafttretensdatum)</w:t>
      </w:r>
    </w:p>
    <w:p>
      <w:r>
        <w:t xml:space="preserve">(1) Die amtliche Anerkennung wird erteilt, wenn</w:t>
      </w:r>
    </w:p>
    <w:p>
      <w:pPr>
        <w:ind w:left="420"/>
      </w:pPr>
      <w:r>
        <w:t xml:space="preserve">1. keine Tatsachen vorliegen, die den Inhaber oder die für die verantwortliche Leitung der Fahrlehrerausbildungsstätte bestellte Person für die Führung einer Fahrlehrerausbildungsstätte als unzuverlässig erscheinen lassen,</w:t>
      </w:r>
    </w:p>
    <w:p>
      <w:pPr>
        <w:ind w:left="420"/>
      </w:pPr>
      <w:r>
        <w:t xml:space="preserve">2. die Fahrlehrerausbildungsstätte eine verantwortliche Leitung hat, die in der Lage ist, den Unterricht sachkundig zu überwachen, und die Gewähr dafür bietet, dass die Pflichten des § 40 erfüllt werden,</w:t>
      </w:r>
    </w:p>
    <w:p>
      <w:pPr>
        <w:ind w:left="420"/>
      </w:pPr>
      <w:r>
        <w:t xml:space="preserve">3. der Fahrlehrerausbildungsstätte in ausreichender Anzahl Lehrkräfte zur Verfügung stehen, die in der Lage sind, in ihrem Aufgabenbereich den Fahrlehreranwärtern die nach § 7 notwendigen Kompetenzen zu vermitteln,</w:t>
      </w:r>
    </w:p>
    <w:p>
      <w:pPr>
        <w:ind w:left="420"/>
      </w:pPr>
      <w:r>
        <w:t xml:space="preserve">4. der Fahrlehrerausbildungsstätte der erforderliche Unterrichtsraum und die erforderlichen Lehrmittel und Lehrfahrzeuge zur Verfügung stehen,</w:t>
      </w:r>
    </w:p>
    <w:p>
      <w:pPr>
        <w:ind w:left="420"/>
      </w:pPr>
      <w:r>
        <w:t xml:space="preserve">5. ein sachgerechter Ausbildungsplan vorgelegt wird.</w:t>
      </w:r>
    </w:p>
    <w:p>
      <w:r>
        <w:t xml:space="preserve">Spätere Änderungen des Ausbildungsplans bedürfen der Genehmigung durch die nach Landesrecht zuständige Behörde. Unzuverlässig im Sinne des Satzes 1 Nummer 1 ist der Antragsteller insbesondere dann, wenn er wiederholt die Pflichten gröblich verletzt hat, die ihm nach diesem Gesetz oder den auf Grund dieses Gesetzes erlassenen Rechtsverordnungen obliegen.</w:t>
      </w:r>
    </w:p>
    <w:p>
      <w:r>
        <w:t xml:space="preserve">(2) Ist der Inhaber eine juristische Person oder rechtsfähige Personengesellschaft, wird die amtliche Anerkennung erteilt, wenn die in Absatz 1 Satz 1 Nummer 4 genannten Voraussetzungen erfüllt sind und keine Tatsachen vorliegen, die die durch Gesetz, Satzung oder Einzelprokura berechtigten Personen als unzuverlässig erscheinen lassen und eine von ihnen, die die Voraussetzung des Absatzes 1 Satz 1 Nummer 1 erfüllt, zur verantwortlichen Leitung der Fahrlehrerausbildungsstätte bestellt wird. Absatz 1 Satz 3 gilt entsprechend.</w:t>
      </w:r>
    </w:p>
    <w:p>
      <w:r>
        <w:rPr>
          <w:color w:val="555555"/>
          <w:sz w:val="17"/>
        </w:rPr>
        <w:t xml:space="preserve">Zitiervorschlag: § 37 FahrlG 2018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https://recht.nulegal.eu/gesetze/FahrlG%202018/37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