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FahrlG 2018 — Notwendigkeit und sachlicher Geltungsbereich der amtlichen Anerkennung von Fahrlehrerausbildungsstätten</w:t>
      </w:r>
    </w:p>
    <w:p>
      <w:r>
        <w:rPr>
          <w:color w:val="555555"/>
          <w:sz w:val="18"/>
        </w:rPr>
        <w:t xml:space="preserve">Fahrlehrergesetz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in einer Fahrlehrerausbildungsstätte Fahrlehreranwärter ausbildet oder ausbilden lässt, bedarf der amtlichen Anerkennung seines Betriebs durch die nach Landesrecht zuständige Behörde.</w:t>
      </w:r>
    </w:p>
    <w:p>
      <w:r>
        <w:t xml:space="preserve">(2) Die Anerkennung wird auf Antrag für die Ausbildung zum Erwerb der Fahrlehrerlaubnis einzelner oder sämtlicher Fahrlehrerlaubnisklassen erteilt.</w:t>
      </w:r>
    </w:p>
    <w:p>
      <w:r>
        <w:rPr>
          <w:color w:val="555555"/>
          <w:sz w:val="17"/>
        </w:rPr>
        <w:t xml:space="preserve">Zitiervorschlag: § 36 FahrlG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https://recht.nulegal.eu/gesetze/FahrlG%202018/36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