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35 FahrlG 2018 — Ausbildungsfahrschule</w:t>
      </w:r>
    </w:p>
    <w:p>
      <w:r>
        <w:rPr>
          <w:color w:val="555555"/>
          <w:sz w:val="18"/>
        </w:rPr>
        <w:t xml:space="preserve">Fahrlehrergesetz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In einer Fahrschule dürfen nur dann Fahrlehreranwärter ausgebildet werden, wenn der Inhaber oder die für die verantwortliche Leitung des Ausbildungsbetriebs bestellte Person</w:t>
      </w:r>
    </w:p>
    <w:p>
      <w:pPr>
        <w:ind w:left="420"/>
      </w:pPr>
      <w:r>
        <w:t xml:space="preserve">1. seit mindestens zwei Jahren die Ausbildungsfahrlehrerlaubnis nach § 16 Absatz 1 Satz 1 besitzt oder</w:t>
      </w:r>
    </w:p>
    <w:p>
      <w:pPr>
        <w:ind w:left="420"/>
      </w:pPr>
      <w:r>
        <w:t xml:space="preserve">2. die Ausbildungsfahrlehrerlaubnis besitzt und seit mindestens zwei Jahren im Besitz der Fahrschulerlaubnis ist.</w:t>
      </w:r>
    </w:p>
    <w:p>
      <w:r>
        <w:t xml:space="preserve">(2) Der Inhaber der Ausbildungsfahrschule oder die verantwortliche Leitung des Ausbildungsbetriebs, in dem Fahrlehrer ausgebildet werden, hat dafür zu sorgen, dass Ausbildungsfahrlehrer ihren Verpflichtungen nach § 16 Absatz 3 nachkommen. Bietet er nicht die Gewähr dafür, dass diesen Verpflichtungen nachgekommen wird, kann die nach Landesrecht zuständige Behörde die Ausbildung von Fahrlehreranwärtern untersagen.</w:t>
      </w:r>
    </w:p>
    <w:p>
      <w:r>
        <w:rPr>
          <w:color w:val="555555"/>
          <w:sz w:val="17"/>
        </w:rPr>
        <w:t xml:space="preserve">Zitiervorschlag: § 35 FahrlG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https://recht.nulegal.eu/gesetze/FahrlG%202018/35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35 FahrlG 2018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