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FahrlG 2018 — Fortführen der Fahrschule nach dem Tod des Inhabers der Fahrschulerlaubnis</w:t>
      </w:r>
    </w:p>
    <w:p>
      <w:r>
        <w:rPr>
          <w:color w:val="555555"/>
          <w:sz w:val="18"/>
        </w:rPr>
        <w:t xml:space="preserve">Fahrlehrergesetz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Tod des Inhabers der Fahrschulerlaubnis kann die Fahrschule fortgeführt werden</w:t>
      </w:r>
    </w:p>
    <w:p>
      <w:pPr>
        <w:ind w:left="420"/>
      </w:pPr>
      <w:r>
        <w:t xml:space="preserve">1. für Rechnung des überlebenden Ehegatten oder Lebenspartners,</w:t>
      </w:r>
    </w:p>
    <w:p>
      <w:pPr>
        <w:ind w:left="420"/>
      </w:pPr>
      <w:r>
        <w:t xml:space="preserve">2. für Rechnung eines Erben, solange dieser noch nicht das 26. Lebensjahr vollendet hat oder seit dem Erbfall drei Jahre noch nicht verstrichen sind, oder</w:t>
      </w:r>
    </w:p>
    <w:p>
      <w:pPr>
        <w:ind w:left="420"/>
      </w:pPr>
      <w:r>
        <w:t xml:space="preserve">3. für Rechnung des Testamentsvollstreckers, Nachlassverwalters, Nachlasspflegers oder Nachlassinsolvenzverwalters während einer Testamentsvollstreckung, Nachlassverwaltung, Nachlasspflegschaft oder Nachlassinsolvenzverwaltung.</w:t>
      </w:r>
    </w:p>
    <w:p>
      <w:r>
        <w:t xml:space="preserve">(2) Nach Ablauf von sechs Monaten seit dem Tod des Inhabers darf von der Fahrschulerlaubnis nur Gebrauch gemacht werden, wenn die in Absatz 1 genannten Personen oder eine andere als verantwortliche Leitung des Ausbildungsbetriebs bestellte Person die Voraussetzungen des § 18 Absatz 1 Nummer 1 bis 5 und Absatz 2 Satz 2 oder des § 21 erfüllen.</w:t>
      </w:r>
    </w:p>
    <w:p>
      <w:r>
        <w:rPr>
          <w:color w:val="555555"/>
          <w:sz w:val="17"/>
        </w:rPr>
        <w:t xml:space="preserve">Zitiervorschlag: § 28 FahrlG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https://recht.nulegal.eu/gesetze/FahrlG%202018/28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