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FahrlG 2018 — Erfordernis und Inhalt der Fahrschulerlaubnis</w:t>
      </w:r>
    </w:p>
    <w:p>
      <w:r>
        <w:rPr>
          <w:color w:val="555555"/>
          <w:sz w:val="18"/>
        </w:rPr>
        <w:t xml:space="preserve">Fahrlehrergesetz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als selbstständiger Fahrlehrer Fahrschüler ausbildet oder durch von ihm beschäftigte Fahrlehrer ausbilden lässt, bedarf der Fahrschulerlaubnis. Von der Fahrschulerlaubnis mit einem Zusatz nach § 21 Satz 2 in Verbindung mit § 3 Absatz 1 Satz 2 darf nur zur vorübergehenden und gelegentlichen selbstständigen Ausbildung von Fahrschülern Gebrauch gemacht werden.</w:t>
      </w:r>
    </w:p>
    <w:p>
      <w:r>
        <w:t xml:space="preserve">(2) Die Fahrschulerlaubnis wird auf Antrag für die Fahrschulerlaubnisklassen A, BE, CE oder DE erteilt. Im Übrigen ist § 1 Absatz 2 entsprechend anzuwenden.</w:t>
      </w:r>
    </w:p>
    <w:p>
      <w:r>
        <w:rPr>
          <w:color w:val="555555"/>
          <w:sz w:val="17"/>
        </w:rPr>
        <w:t xml:space="preserve">Zitiervorschlag: § 17 FahrlG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https://recht.nulegal.eu/gesetze/FahrlG%202018/17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