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FahrlAusbV — Einweisungsseminar</w:t>
      </w:r>
    </w:p>
    <w:p>
      <w:r>
        <w:rPr>
          <w:color w:val="555555"/>
          <w:sz w:val="18"/>
        </w:rPr>
        <w:t xml:space="preserve">Fahrlehrer-Ausbildungsverordnung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Das Einweisungsseminar für Ausbildungsfahrlehrer nach § 16 Absatz 1 Nummer 2 des Fahrlehrergesetzes ist nach einem von der nach Landesrecht zuständigen Behörde zu genehmigenden Ausbildungsplan durchzuführen, der mindestens die Kompetenzen und Stundenangaben des Rahmenplans nach Anlage 4 erfüllen muss.</w:t>
      </w:r>
    </w:p>
    <w:p>
      <w:r>
        <w:rPr>
          <w:color w:val="555555"/>
          <w:sz w:val="17"/>
        </w:rPr>
        <w:t xml:space="preserve">Zitiervorschlag: § 4 FahrlAusbV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