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FahrBV (Brandenburg) — Inkrafttreten</w:t>
      </w:r>
    </w:p>
    <w:p>
      <w:r>
        <w:rPr>
          <w:color w:val="555555"/>
          <w:sz w:val="18"/>
        </w:rPr>
        <w:t xml:space="preserve">Fahrberechtigungsverordnung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8. Februar 2018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Der Minister des Innern und für Kommunales</w:t>
      </w:r>
    </w:p>
    <w:p>
      <w:r>
        <w:t xml:space="preserve">Karl-Heinz Schröter</w:t>
      </w:r>
    </w:p>
    <w:p>
      <w:r>
        <w:rPr>
          <w:color w:val="555555"/>
          <w:sz w:val="17"/>
        </w:rPr>
        <w:t xml:space="preserve">Zitiervorschlag: § 6 FahrBV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https://recht.nulegal.eu/gesetze/FahrBV/6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