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FahrBV (Brandenburg) — Zuständigkeiten</w:t>
      </w:r>
    </w:p>
    <w:p>
      <w:r>
        <w:rPr>
          <w:color w:val="555555"/>
          <w:sz w:val="18"/>
        </w:rPr>
        <w:t xml:space="preserve">Fahrberechtigungsverordnung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 für die Erteilung der Fahrberechtigung nach § 1 Absatz 1, 3 und 4 sowie deren Widerruf und Einzug sind</w:t>
      </w:r>
    </w:p>
    <w:p>
      <w:r>
        <w:t xml:space="preserve">der Aufgabenträger für den örtlichen Brandschutz und die örtliche Hilfeleistung für die Angehörigen der Freiwilligen Feuerwehr in seinem Gebiet,</w:t>
      </w:r>
    </w:p>
    <w:p>
      <w:r>
        <w:t xml:space="preserve">der Landkreis oder die kreisfreie Stadt für die Angehörigen des Technischen Hilfswerks und für die Angehörigen sonstiger Einheiten, die nach § 18 des Brandenburgischen Brand- und Katastrophenschutzgesetzes im Katastrophenschutz in ihrem Bereich mitwirken.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FahrBV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https://recht.nulegal.eu/gesetze/FahrBV/5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