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FahrBV (Brandenburg) — Erlöschen und Ruhen der Fahrberechtigung</w:t>
      </w:r>
    </w:p>
    <w:p>
      <w:r>
        <w:rPr>
          <w:color w:val="555555"/>
          <w:sz w:val="18"/>
        </w:rPr>
        <w:t xml:space="preserve">Fahrberechtigungsverordnung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Fahrberechtigung erlischt</w:t>
      </w:r>
    </w:p>
    <w:p>
      <w:r>
        <w:t xml:space="preserve">mit der unanfechtbaren oder sofort vollziehbaren Entziehung der allgemeinen Fahrerlaubnis,</w:t>
      </w:r>
    </w:p>
    <w:p>
      <w:r>
        <w:t xml:space="preserve">im Fall des Verzichts auf die Fahrerlaubnis der Klasse B.</w:t>
      </w:r>
    </w:p>
    <w:p>
      <w:r>
        <w:t xml:space="preserve">In diesen Fällen ist die Fahrberechtigung zurückzugeben.</w:t>
      </w:r>
    </w:p>
    <w:p>
      <w:r>
        <w:t xml:space="preserve">(2) Während der Dauer eines Fahrverbots nach § 25 des Straßenverkehrsgesetzes darf von der Fahrberechtigung kein Gebrauch gemacht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FahrBV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https://recht.nulegal.eu/gesetze/FahrBV/4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