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FachlkVO (Sachsen)</w:t>
      </w:r>
    </w:p>
    <w:p>
      <w:r>
        <w:rPr>
          <w:color w:val="555555"/>
          <w:sz w:val="18"/>
        </w:rPr>
        <w:t xml:space="preserve">Fachlehrkräfteverordnung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des § 40 Absatz 3 Satz 1 des Sächsischen Schulgesetzes vom 27. September 2018 (SächsGVBl. S. 648) verordnet das Staatsministerium für Kultus:</w:t>
      </w:r>
    </w:p>
    <w:p>
      <w:r>
        <w:rPr>
          <w:color w:val="555555"/>
          <w:sz w:val="17"/>
        </w:rPr>
        <w:t xml:space="preserve">Zitiervorschlag: Eingangsformel FachlkVO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https://recht.nulegal.eu/gesetze/FachlkVO/eingangsformel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