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FachlkVO (Sachsen) — Ausbildungsstätten</w:t>
      </w:r>
    </w:p>
    <w:p>
      <w:r>
        <w:rPr>
          <w:color w:val="555555"/>
          <w:sz w:val="18"/>
        </w:rPr>
        <w:t xml:space="preserve">Fachlehrkräfteverordnung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Ausbildungsstätten sind</w:t>
      </w:r>
    </w:p>
    <w:p>
      <w:r>
        <w:t xml:space="preserve">1. die Schulaufsichtsbehörde sowie</w:t>
      </w:r>
    </w:p>
    <w:p>
      <w:r>
        <w:t xml:space="preserve">2. als Ausbildungsschulen die Schulen in öffentlicher Trägerschaft und, im Einvernehmen mit ihrem Träger, die Schulen in freier Trägerschaft im Freistaat Sachsen, an denen die Teilnehmerinnen und Teilnehmer tätig sind.</w:t>
      </w:r>
    </w:p>
    <w:p>
      <w:r>
        <w:rPr>
          <w:color w:val="555555"/>
          <w:sz w:val="17"/>
        </w:rPr>
        <w:t xml:space="preserve">Zitiervorschlag: § 5 FachlkVO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https://recht.nulegal.eu/gesetze/FachlkVO/5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