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FachlkVO (Sachsen) — Inkrafttreten, Außerkrafttreten</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treten die Verordnung des Sächsischen Staatsministeriums für Kultus über die berufsbegleitende Ausbildung und Prüfung zum Fachlehrer im Förderschwerpunkt geistige Entwicklung vom 15. Juni 2006 (SächsGVBl. S. 408), die durch Artikel 3 der Verordnung vom 5. Februar 2007 (SächsGVBl. S. 30) geändert worden ist, und die Fachlehrerverordnung vom 22. Mai 2001 (SächsGVBl. S. 473), die durch Artikel 4 der Verordnung vom 5. Februar 2007 (SächsGVBl. S. 30) geändert worden ist, außer Kraft.</w:t>
      </w:r>
    </w:p>
    <w:p>
      <w:r>
        <w:t xml:space="preserve">Dresden, den 22. März 2022</w:t>
      </w:r>
    </w:p>
    <w:p>
      <w:r>
        <w:t xml:space="preserve">Der Staatsminister für Kultus</w:t>
      </w:r>
    </w:p>
    <w:p>
      <w:r>
        <w:t xml:space="preserve">Christian Piwarz</w:t>
      </w:r>
    </w:p>
    <w:p>
      <w:r>
        <w:rPr>
          <w:color w:val="555555"/>
          <w:sz w:val="17"/>
        </w:rPr>
        <w:t xml:space="preserve">Zitiervorschlag: § 22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