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FachbauTischlPrV</w:t>
      </w:r>
    </w:p>
    <w:p>
      <w:r>
        <w:rPr>
          <w:color w:val="555555"/>
          <w:sz w:val="18"/>
        </w:rPr>
        <w:t xml:space="preserve">Verordnung über die Prüfung zum anerkannten Abschluss Geprüfter Fachbauleiter/Geprüfte Fachbauleiterin im Tischlerhandwerk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42 Abs. 2 Satz 1 der Handwerksordnung in der Fassung der Bekanntmachung vom 24. September 1998 (BGBl. I S. 3074), der zuletzt durch Artikel 1 Nr. 35 des Gesetzes vom 24. Dezember 2003 (BGBl. I S. 2934) geändert worden ist, verordnet das Bundesministerium für Bildung und Forschung nach Anhören des Ständigen Ausschusses des Bundesinstituts für Berufsbildung im Einvernehmen mit dem Bundesministerium für Wirtschaft und Arbeit:</w:t>
      </w:r>
    </w:p>
    <w:p>
      <w:r>
        <w:rPr>
          <w:color w:val="555555"/>
          <w:sz w:val="17"/>
        </w:rPr>
        <w:t xml:space="preserve">Zitiervorschlag: Eingangsformel FachbauTischlPrV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https://recht.nulegal.eu/gesetze/FachbauTischlPrV/eingangsformel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