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FachbauTischlPrV — Bewerten der Prüfungsleistungen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Jede Prüfungsleistung ist nach Maßgabe der Anlage 1 mit Punkten zu bewerten.</w:t>
      </w:r>
    </w:p>
    <w:p>
      <w:r>
        <w:t xml:space="preserve">(2) Als Prüfungsleistungen sind einzeln zu bewerten:</w:t>
      </w:r>
    </w:p>
    <w:p>
      <w:pPr>
        <w:ind w:left="420"/>
      </w:pPr>
      <w:r>
        <w:t xml:space="preserve">1. die schriftliche Situationsaufgabe nach § 3 Absatz 2 Nummer 1 sowie</w:t>
      </w:r>
    </w:p>
    <w:p>
      <w:pPr>
        <w:ind w:left="420"/>
      </w:pPr>
      <w:r>
        <w:t xml:space="preserve">2. das situationsbezogene Fachgespräch nach § 3 Absatz 2 Nummer 2.</w:t>
      </w:r>
    </w:p>
    <w:p>
      <w:r>
        <w:t xml:space="preserve">(3) Aus den einzelnen Bewertungen wird als zusammengefasste Bewertung das gewichtete arithmetische Mittel berechnet. Dabei sind die Bewertungen wie folgt zu gewichten:</w:t>
      </w:r>
    </w:p>
    <w:p>
      <w:pPr>
        <w:ind w:left="420"/>
      </w:pPr>
      <w:r>
        <w:t xml:space="preserve">1. die schriftliche Situationsaufgabe nach § 3 Absatz 2 Nummer 1 mit zwei Dritteln,</w:t>
      </w:r>
    </w:p>
    <w:p>
      <w:pPr>
        <w:ind w:left="420"/>
      </w:pPr>
      <w:r>
        <w:t xml:space="preserve">2. das situationsbezogene Fachgespräch nach § 3 Absatz 2 Nummer 2 mit einem Drittel.</w:t>
      </w:r>
    </w:p>
    <w:p>
      <w:r>
        <w:rPr>
          <w:color w:val="555555"/>
          <w:sz w:val="17"/>
        </w:rPr>
        <w:t xml:space="preserve">Zitiervorschlag: § 6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